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jc w:val="center"/>
        <w:rPr>
          <w:sz w:val="52"/>
          <w:szCs w:val="52"/>
        </w:rPr>
      </w:pPr>
      <w:r>
        <w:rPr>
          <w:rFonts w:hint="eastAsia" w:asciiTheme="minorEastAsia" w:hAnsiTheme="minorEastAsia" w:cstheme="minorEastAsia"/>
          <w:sz w:val="52"/>
          <w:szCs w:val="52"/>
        </w:rPr>
        <w:t>2021年</w:t>
      </w:r>
      <w:r>
        <w:rPr>
          <w:rFonts w:hint="eastAsia"/>
          <w:sz w:val="52"/>
          <w:szCs w:val="52"/>
        </w:rPr>
        <w:t>度</w:t>
      </w:r>
    </w:p>
    <w:p>
      <w:pPr>
        <w:jc w:val="center"/>
        <w:rPr>
          <w:sz w:val="52"/>
          <w:szCs w:val="52"/>
        </w:rPr>
      </w:pPr>
      <w:r>
        <w:rPr>
          <w:rFonts w:hint="eastAsia"/>
          <w:sz w:val="52"/>
          <w:szCs w:val="52"/>
        </w:rPr>
        <w:t>新邵县人民检察院部门决算</w:t>
      </w:r>
    </w:p>
    <w:p>
      <w:pPr>
        <w:jc w:val="center"/>
        <w:rPr>
          <w:sz w:val="72"/>
          <w:szCs w:val="72"/>
        </w:rPr>
      </w:pPr>
    </w:p>
    <w:p>
      <w:pPr>
        <w:pStyle w:val="14"/>
        <w:spacing w:line="500" w:lineRule="exact"/>
        <w:jc w:val="center"/>
        <w:rPr>
          <w:b/>
          <w:sz w:val="36"/>
          <w:szCs w:val="28"/>
        </w:rPr>
      </w:pPr>
    </w:p>
    <w:p>
      <w:pPr>
        <w:pStyle w:val="14"/>
        <w:spacing w:line="500" w:lineRule="exact"/>
        <w:jc w:val="center"/>
        <w:rPr>
          <w:rFonts w:ascii="仿宋_GB2312" w:hAnsi="仿宋_GB2312" w:eastAsia="仿宋_GB2312" w:cs="仿宋_GB2312"/>
          <w:b/>
          <w:sz w:val="36"/>
          <w:szCs w:val="28"/>
        </w:rPr>
      </w:pPr>
    </w:p>
    <w:p>
      <w:pPr>
        <w:pStyle w:val="14"/>
        <w:spacing w:line="500" w:lineRule="exact"/>
        <w:jc w:val="center"/>
        <w:rPr>
          <w:rFonts w:ascii="仿宋_GB2312" w:hAnsi="仿宋_GB2312" w:eastAsia="仿宋_GB2312" w:cs="仿宋_GB2312"/>
          <w:b/>
          <w:sz w:val="36"/>
          <w:szCs w:val="28"/>
        </w:rPr>
      </w:pPr>
    </w:p>
    <w:p>
      <w:pPr>
        <w:pStyle w:val="14"/>
        <w:spacing w:line="500" w:lineRule="exact"/>
        <w:jc w:val="both"/>
        <w:rPr>
          <w:rFonts w:ascii="仿宋_GB2312" w:hAnsi="仿宋_GB2312" w:eastAsia="仿宋_GB2312" w:cs="仿宋_GB2312"/>
          <w:b/>
          <w:sz w:val="36"/>
          <w:szCs w:val="28"/>
        </w:rPr>
      </w:pPr>
    </w:p>
    <w:p>
      <w:pPr>
        <w:pStyle w:val="14"/>
        <w:spacing w:line="500" w:lineRule="exact"/>
        <w:jc w:val="both"/>
        <w:rPr>
          <w:rFonts w:ascii="仿宋_GB2312" w:hAnsi="仿宋_GB2312" w:eastAsia="仿宋_GB2312" w:cs="仿宋_GB2312"/>
          <w:b/>
          <w:sz w:val="36"/>
          <w:szCs w:val="28"/>
        </w:rPr>
      </w:pPr>
    </w:p>
    <w:p>
      <w:pPr>
        <w:pStyle w:val="14"/>
        <w:spacing w:line="500" w:lineRule="exact"/>
        <w:jc w:val="both"/>
        <w:rPr>
          <w:rFonts w:ascii="仿宋_GB2312" w:hAnsi="仿宋_GB2312" w:eastAsia="仿宋_GB2312" w:cs="仿宋_GB2312"/>
          <w:b/>
          <w:sz w:val="36"/>
          <w:szCs w:val="28"/>
        </w:rPr>
      </w:pPr>
    </w:p>
    <w:p>
      <w:pPr>
        <w:pStyle w:val="14"/>
        <w:spacing w:line="500" w:lineRule="exact"/>
        <w:jc w:val="both"/>
        <w:rPr>
          <w:rFonts w:ascii="仿宋_GB2312" w:hAnsi="仿宋_GB2312" w:eastAsia="仿宋_GB2312" w:cs="仿宋_GB2312"/>
          <w:b/>
          <w:sz w:val="36"/>
          <w:szCs w:val="28"/>
        </w:rPr>
      </w:pPr>
    </w:p>
    <w:p>
      <w:pPr>
        <w:pStyle w:val="14"/>
        <w:spacing w:line="500" w:lineRule="exact"/>
        <w:jc w:val="both"/>
        <w:rPr>
          <w:rFonts w:ascii="仿宋_GB2312" w:hAnsi="仿宋_GB2312" w:eastAsia="仿宋_GB2312" w:cs="仿宋_GB2312"/>
          <w:b/>
          <w:sz w:val="36"/>
          <w:szCs w:val="28"/>
        </w:rPr>
      </w:pPr>
    </w:p>
    <w:p>
      <w:pPr>
        <w:pStyle w:val="14"/>
        <w:spacing w:line="500" w:lineRule="exact"/>
        <w:jc w:val="center"/>
        <w:rPr>
          <w:rFonts w:ascii="仿宋_GB2312" w:hAnsi="仿宋_GB2312" w:eastAsia="仿宋_GB2312" w:cs="仿宋_GB2312"/>
          <w:b/>
          <w:sz w:val="36"/>
          <w:szCs w:val="28"/>
        </w:rPr>
      </w:pPr>
    </w:p>
    <w:p>
      <w:pPr>
        <w:pStyle w:val="14"/>
        <w:spacing w:line="500" w:lineRule="exact"/>
        <w:jc w:val="center"/>
        <w:rPr>
          <w:rFonts w:ascii="仿宋_GB2312" w:hAnsi="仿宋_GB2312" w:eastAsia="仿宋_GB2312" w:cs="仿宋_GB2312"/>
          <w:b/>
          <w:sz w:val="36"/>
          <w:szCs w:val="28"/>
        </w:rPr>
      </w:pPr>
    </w:p>
    <w:p>
      <w:pPr>
        <w:pStyle w:val="14"/>
        <w:spacing w:line="500" w:lineRule="exact"/>
        <w:jc w:val="center"/>
        <w:rPr>
          <w:rFonts w:ascii="仿宋_GB2312" w:hAnsi="仿宋_GB2312" w:eastAsia="仿宋_GB2312" w:cs="仿宋_GB2312"/>
          <w:b/>
          <w:sz w:val="36"/>
          <w:szCs w:val="28"/>
        </w:rPr>
      </w:pPr>
    </w:p>
    <w:p>
      <w:pPr>
        <w:pStyle w:val="14"/>
        <w:spacing w:line="500" w:lineRule="exact"/>
        <w:jc w:val="center"/>
        <w:rPr>
          <w:rFonts w:ascii="仿宋_GB2312" w:hAnsi="仿宋_GB2312" w:eastAsia="仿宋_GB2312" w:cs="仿宋_GB2312"/>
          <w:b/>
          <w:sz w:val="36"/>
          <w:szCs w:val="28"/>
        </w:rPr>
      </w:pPr>
    </w:p>
    <w:p>
      <w:pPr>
        <w:pStyle w:val="14"/>
        <w:spacing w:line="500" w:lineRule="exact"/>
        <w:jc w:val="center"/>
        <w:rPr>
          <w:rFonts w:ascii="仿宋_GB2312" w:hAnsi="仿宋_GB2312" w:eastAsia="仿宋_GB2312" w:cs="仿宋_GB2312"/>
          <w:b/>
          <w:sz w:val="36"/>
          <w:szCs w:val="28"/>
        </w:rPr>
      </w:pPr>
    </w:p>
    <w:p>
      <w:pPr>
        <w:pStyle w:val="14"/>
        <w:spacing w:line="500" w:lineRule="exact"/>
        <w:jc w:val="center"/>
        <w:rPr>
          <w:rFonts w:ascii="仿宋_GB2312" w:hAnsi="仿宋_GB2312" w:eastAsia="仿宋_GB2312" w:cs="仿宋_GB2312"/>
          <w:b/>
          <w:sz w:val="36"/>
          <w:szCs w:val="28"/>
        </w:rPr>
      </w:pPr>
      <w:r>
        <w:rPr>
          <w:rFonts w:hint="eastAsia" w:ascii="仿宋_GB2312" w:hAnsi="仿宋_GB2312" w:eastAsia="仿宋_GB2312" w:cs="仿宋_GB2312"/>
          <w:b/>
          <w:sz w:val="36"/>
          <w:szCs w:val="28"/>
        </w:rPr>
        <w:t>目录</w:t>
      </w:r>
    </w:p>
    <w:p>
      <w:pPr>
        <w:pStyle w:val="14"/>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第一部分新邵县人民检察院单位概况</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第二部分2021年度部门决算表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七、一般公共预算财政拨款“三公”经费支出决算表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八、政府性基金预算财政拨款收入支出决算表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九、国有资本经营预算财政拨款支出决算表</w:t>
      </w:r>
    </w:p>
    <w:p>
      <w:pPr>
        <w:pStyle w:val="14"/>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第三部分2021年度部门决算情况说明</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十一、政府采购支出说明</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十二、国有资产占用情况说明</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十三、2021年度预算绩效情况说明</w:t>
      </w:r>
    </w:p>
    <w:p>
      <w:pPr>
        <w:autoSpaceDE w:val="0"/>
        <w:autoSpaceDN w:val="0"/>
        <w:adjustRightInd w:val="0"/>
        <w:spacing w:line="500" w:lineRule="exact"/>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第四部分名词解释</w:t>
      </w:r>
    </w:p>
    <w:p>
      <w:pPr>
        <w:pStyle w:val="14"/>
        <w:snapToGrid w:val="0"/>
        <w:spacing w:line="58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第五部分附件</w:t>
      </w:r>
    </w:p>
    <w:p>
      <w:pPr>
        <w:pStyle w:val="14"/>
        <w:snapToGrid w:val="0"/>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2021年度部门整体支出绩效评价报告</w:t>
      </w:r>
    </w:p>
    <w:p>
      <w:pPr>
        <w:autoSpaceDE w:val="0"/>
        <w:autoSpaceDN w:val="0"/>
        <w:adjustRightInd w:val="0"/>
        <w:spacing w:line="500" w:lineRule="exact"/>
        <w:jc w:val="left"/>
        <w:rPr>
          <w:rFonts w:ascii="仿宋_GB2312" w:hAnsi="仿宋_GB2312" w:eastAsia="仿宋_GB2312" w:cs="仿宋_GB2312"/>
          <w:b/>
          <w:color w:val="000000"/>
          <w:kern w:val="0"/>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p>
    <w:p>
      <w:pPr>
        <w:pStyle w:val="14"/>
        <w:jc w:val="center"/>
        <w:rPr>
          <w:sz w:val="84"/>
          <w:szCs w:val="84"/>
        </w:rPr>
      </w:pPr>
    </w:p>
    <w:p>
      <w:pPr>
        <w:jc w:val="center"/>
        <w:rPr>
          <w:sz w:val="72"/>
          <w:szCs w:val="72"/>
        </w:rPr>
      </w:pPr>
    </w:p>
    <w:p>
      <w:pPr>
        <w:jc w:val="center"/>
        <w:rPr>
          <w:sz w:val="72"/>
          <w:szCs w:val="72"/>
        </w:rPr>
      </w:pPr>
    </w:p>
    <w:p>
      <w:pPr>
        <w:pStyle w:val="6"/>
        <w:adjustRightInd w:val="0"/>
        <w:snapToGrid w:val="0"/>
        <w:spacing w:before="0" w:beforeAutospacing="0" w:after="0" w:afterAutospacing="0" w:line="560" w:lineRule="exact"/>
        <w:ind w:firstLine="880" w:firstLineChars="200"/>
        <w:jc w:val="center"/>
        <w:outlineLvl w:val="0"/>
        <w:rPr>
          <w:rFonts w:ascii="黑体" w:hAnsi="黑体" w:eastAsia="黑体" w:cs="黑体"/>
          <w:sz w:val="44"/>
          <w:szCs w:val="44"/>
          <w:shd w:val="clear" w:color="auto" w:fill="FFFFFF"/>
        </w:rPr>
      </w:pPr>
      <w:bookmarkStart w:id="0" w:name="_Toc6365"/>
    </w:p>
    <w:p>
      <w:pPr>
        <w:pStyle w:val="6"/>
        <w:adjustRightInd w:val="0"/>
        <w:snapToGrid w:val="0"/>
        <w:spacing w:before="0" w:beforeAutospacing="0" w:after="0" w:afterAutospacing="0" w:line="560" w:lineRule="exact"/>
        <w:ind w:firstLine="880" w:firstLineChars="200"/>
        <w:jc w:val="center"/>
        <w:outlineLvl w:val="0"/>
        <w:rPr>
          <w:rFonts w:ascii="黑体" w:hAnsi="黑体" w:eastAsia="黑体" w:cs="黑体"/>
          <w:sz w:val="44"/>
          <w:szCs w:val="44"/>
          <w:shd w:val="clear" w:color="auto" w:fill="FFFFFF"/>
        </w:rPr>
      </w:pPr>
    </w:p>
    <w:p>
      <w:pPr>
        <w:pStyle w:val="6"/>
        <w:adjustRightInd w:val="0"/>
        <w:snapToGrid w:val="0"/>
        <w:spacing w:before="0" w:beforeAutospacing="0" w:after="0" w:afterAutospacing="0" w:line="560" w:lineRule="exact"/>
        <w:ind w:firstLine="880" w:firstLineChars="200"/>
        <w:jc w:val="center"/>
        <w:outlineLvl w:val="0"/>
        <w:rPr>
          <w:rFonts w:ascii="黑体" w:hAnsi="黑体" w:eastAsia="黑体" w:cs="黑体"/>
          <w:sz w:val="44"/>
          <w:szCs w:val="44"/>
          <w:shd w:val="clear" w:color="auto" w:fill="FFFFFF"/>
        </w:rPr>
      </w:pPr>
    </w:p>
    <w:p>
      <w:pPr>
        <w:pStyle w:val="6"/>
        <w:adjustRightInd w:val="0"/>
        <w:snapToGrid w:val="0"/>
        <w:spacing w:before="0" w:beforeAutospacing="0" w:after="0" w:afterAutospacing="0" w:line="560" w:lineRule="exact"/>
        <w:ind w:firstLine="880" w:firstLineChars="200"/>
        <w:jc w:val="center"/>
        <w:outlineLvl w:val="0"/>
        <w:rPr>
          <w:rFonts w:ascii="黑体" w:hAnsi="黑体" w:eastAsia="黑体" w:cs="黑体"/>
          <w:sz w:val="44"/>
          <w:szCs w:val="44"/>
          <w:shd w:val="clear" w:color="auto" w:fill="FFFFFF"/>
        </w:rPr>
      </w:pPr>
    </w:p>
    <w:p>
      <w:pPr>
        <w:pStyle w:val="6"/>
        <w:adjustRightInd w:val="0"/>
        <w:snapToGrid w:val="0"/>
        <w:spacing w:before="0" w:beforeAutospacing="0" w:after="0" w:afterAutospacing="0" w:line="560" w:lineRule="exact"/>
        <w:ind w:firstLine="880" w:firstLineChars="200"/>
        <w:jc w:val="center"/>
        <w:outlineLvl w:val="0"/>
        <w:rPr>
          <w:rFonts w:ascii="黑体" w:hAnsi="黑体" w:eastAsia="黑体" w:cs="黑体"/>
          <w:sz w:val="32"/>
          <w:szCs w:val="32"/>
          <w:shd w:val="clear" w:color="auto" w:fill="FFFFFF"/>
        </w:rPr>
      </w:pPr>
      <w:r>
        <w:rPr>
          <w:rFonts w:hint="eastAsia" w:ascii="黑体" w:hAnsi="黑体" w:eastAsia="黑体" w:cs="黑体"/>
          <w:sz w:val="44"/>
          <w:szCs w:val="44"/>
          <w:shd w:val="clear" w:color="auto" w:fill="FFFFFF"/>
        </w:rPr>
        <w:t>第一部分 新邵县人民检察院概况</w:t>
      </w:r>
      <w:bookmarkEnd w:id="0"/>
    </w:p>
    <w:p>
      <w:pPr>
        <w:pStyle w:val="6"/>
        <w:adjustRightInd w:val="0"/>
        <w:snapToGrid w:val="0"/>
        <w:spacing w:before="0" w:beforeAutospacing="0" w:after="0" w:afterAutospacing="0" w:line="560" w:lineRule="exact"/>
        <w:ind w:left="420" w:leftChars="200"/>
        <w:outlineLvl w:val="1"/>
        <w:rPr>
          <w:rFonts w:ascii="楷体_GB2312" w:hAnsi="楷体" w:eastAsia="楷体_GB2312" w:cs="楷体"/>
          <w:b/>
          <w:bCs/>
          <w:sz w:val="32"/>
          <w:szCs w:val="32"/>
          <w:shd w:val="clear" w:color="auto" w:fill="FFFFFF"/>
        </w:rPr>
      </w:pPr>
      <w:bookmarkStart w:id="1" w:name="_Toc26770"/>
      <w:bookmarkStart w:id="2" w:name="_Toc4526"/>
      <w:r>
        <w:rPr>
          <w:rFonts w:hint="eastAsia" w:ascii="楷体_GB2312" w:hAnsi="楷体" w:eastAsia="楷体_GB2312" w:cs="楷体"/>
          <w:sz w:val="32"/>
          <w:szCs w:val="32"/>
          <w:shd w:val="clear" w:color="auto" w:fill="FFFFFF"/>
        </w:rPr>
        <w:t>一、部门职责</w:t>
      </w:r>
      <w:bookmarkEnd w:id="1"/>
      <w:bookmarkEnd w:id="2"/>
    </w:p>
    <w:p>
      <w:pPr>
        <w:spacing w:line="600" w:lineRule="exact"/>
        <w:ind w:firstLine="627" w:firstLineChars="196"/>
        <w:outlineLvl w:val="2"/>
        <w:rPr>
          <w:rFonts w:ascii="仿宋_GB2312" w:hAnsi="仿宋_GB2312" w:eastAsia="仿宋_GB2312" w:cs="仿宋_GB2312"/>
          <w:sz w:val="32"/>
          <w:szCs w:val="32"/>
        </w:rPr>
      </w:pPr>
      <w:bookmarkStart w:id="3" w:name="_Toc27540"/>
      <w:bookmarkStart w:id="4" w:name="_Toc647"/>
      <w:r>
        <w:rPr>
          <w:rFonts w:hint="eastAsia" w:ascii="仿宋_GB2312" w:hAnsi="仿宋_GB2312" w:eastAsia="仿宋_GB2312" w:cs="仿宋_GB2312"/>
          <w:sz w:val="32"/>
          <w:szCs w:val="32"/>
        </w:rPr>
        <w:t>新邵县人民检察院是国家的法律监督机关，接受上级人民检察院的领导，对县人民代表大会及其常务委员会负责并报告工作。其主要职责是：</w:t>
      </w:r>
    </w:p>
    <w:p>
      <w:pPr>
        <w:spacing w:line="600" w:lineRule="exact"/>
        <w:ind w:firstLine="627" w:firstLineChars="196"/>
        <w:outlineLvl w:val="2"/>
        <w:rPr>
          <w:rFonts w:ascii="仿宋_GB2312" w:hAnsi="仿宋_GB2312" w:eastAsia="仿宋_GB2312" w:cs="仿宋_GB2312"/>
          <w:sz w:val="32"/>
          <w:szCs w:val="32"/>
        </w:rPr>
      </w:pPr>
      <w:r>
        <w:rPr>
          <w:rFonts w:hint="eastAsia" w:cs="宋体"/>
          <w:sz w:val="32"/>
          <w:szCs w:val="32"/>
        </w:rPr>
        <w:t> </w:t>
      </w:r>
      <w:r>
        <w:rPr>
          <w:rFonts w:hint="eastAsia" w:ascii="仿宋_GB2312" w:hAnsi="仿宋_GB2312" w:eastAsia="仿宋_GB2312" w:cs="仿宋_GB2312"/>
          <w:sz w:val="32"/>
          <w:szCs w:val="32"/>
        </w:rPr>
        <w:t>1.深入贯彻习近平新时代中国特色社会主义思想，深入贯彻党的路线方针政策和决策部署，坚持党对检察工作的绝对领导，坚决维护习近平总书记的核心地位，坚决维护党中央权威和集中统一领导。</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2.贯彻落实上级人民检察院的各项工作部署，研究制定检察工作规划，部署检察工作任务。</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3.依照法律规定对由县人民检察院直接受理的刑事案件行使侦查权。</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4.对刑事案件依法审查批准逮捕、决定逮捕、提起公诉。 </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5.负责应由县人民检察院承办的刑事、民事、行政诉讼活动及刑事、民事、行政判决和裁定等生效法律文书执行的法律监督工作。</w:t>
      </w:r>
    </w:p>
    <w:p>
      <w:pPr>
        <w:spacing w:line="600" w:lineRule="exact"/>
        <w:ind w:firstLine="627" w:firstLineChars="196"/>
        <w:outlineLvl w:val="2"/>
        <w:rPr>
          <w:rFonts w:cs="宋体"/>
          <w:sz w:val="32"/>
          <w:szCs w:val="32"/>
        </w:rPr>
      </w:pPr>
      <w:r>
        <w:rPr>
          <w:rFonts w:hint="eastAsia" w:ascii="仿宋_GB2312" w:hAnsi="仿宋_GB2312" w:eastAsia="仿宋_GB2312" w:cs="仿宋_GB2312"/>
          <w:sz w:val="32"/>
          <w:szCs w:val="32"/>
        </w:rPr>
        <w:t>6.负责由县人民检察院承办的提起公益诉讼工作。</w:t>
      </w:r>
      <w:r>
        <w:rPr>
          <w:rFonts w:hint="eastAsia" w:cs="宋体"/>
          <w:sz w:val="32"/>
          <w:szCs w:val="32"/>
        </w:rPr>
        <w:t>  </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7.负责应由县人民检察院承办的对看守所、社区矫正机构等执法活动的法律监督工作。</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8.受理向县人民检察院的控告申诉。</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9.负责检察机关的理论研究工作。</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10.负责检察机关队伍建设和思想政治工作。</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11.负责检务督察工作。</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12.负责检察机关财务装备和检察技术信息工作。</w:t>
      </w:r>
    </w:p>
    <w:p>
      <w:pPr>
        <w:spacing w:line="600" w:lineRule="exact"/>
        <w:ind w:firstLine="627" w:firstLineChars="196"/>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13.负责其他应当由县人民检察院承办的事项。</w:t>
      </w:r>
    </w:p>
    <w:p>
      <w:pPr>
        <w:pStyle w:val="6"/>
        <w:adjustRightInd w:val="0"/>
        <w:snapToGrid w:val="0"/>
        <w:spacing w:before="0" w:beforeAutospacing="0" w:after="0" w:afterAutospacing="0" w:line="560" w:lineRule="exact"/>
        <w:ind w:firstLine="640" w:firstLineChars="200"/>
        <w:outlineLvl w:val="1"/>
        <w:rPr>
          <w:rFonts w:ascii="楷体_GB2312" w:hAnsi="黑体" w:eastAsia="楷体_GB2312" w:cs="黑体"/>
          <w:sz w:val="32"/>
          <w:szCs w:val="32"/>
        </w:rPr>
      </w:pPr>
      <w:r>
        <w:rPr>
          <w:rFonts w:hint="eastAsia" w:ascii="楷体_GB2312" w:hAnsi="楷体" w:eastAsia="楷体_GB2312" w:cs="楷体"/>
          <w:sz w:val="32"/>
          <w:szCs w:val="32"/>
          <w:shd w:val="clear" w:color="auto" w:fill="FFFFFF"/>
        </w:rPr>
        <w:t>二、机构设置</w:t>
      </w:r>
      <w:bookmarkEnd w:id="3"/>
      <w:bookmarkEnd w:id="4"/>
      <w:r>
        <w:rPr>
          <w:rFonts w:hint="eastAsia" w:ascii="楷体_GB2312" w:hAnsi="楷体" w:eastAsia="楷体_GB2312" w:cs="楷体"/>
          <w:sz w:val="32"/>
          <w:szCs w:val="32"/>
          <w:shd w:val="clear" w:color="auto" w:fill="FFFFFF"/>
        </w:rPr>
        <w:t>及决算单位构成</w:t>
      </w:r>
    </w:p>
    <w:p>
      <w:pPr>
        <w:adjustRightInd w:val="0"/>
        <w:snapToGrid w:val="0"/>
        <w:spacing w:line="560" w:lineRule="exact"/>
        <w:ind w:firstLine="640" w:firstLineChars="200"/>
        <w:rPr>
          <w:rFonts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（一）内设机构设置。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新邵县人民检察院现有5个内设机构，分别为：</w:t>
      </w:r>
      <w:r>
        <w:rPr>
          <w:rFonts w:ascii="仿宋_GB2312" w:eastAsia="仿宋_GB2312"/>
          <w:sz w:val="32"/>
          <w:szCs w:val="32"/>
        </w:rPr>
        <w:t>办公室、第一检察部、第二检察部、第三检察部</w:t>
      </w:r>
      <w:r>
        <w:rPr>
          <w:rFonts w:hint="eastAsia" w:ascii="仿宋_GB2312" w:eastAsia="仿宋_GB2312"/>
          <w:sz w:val="32"/>
          <w:szCs w:val="32"/>
        </w:rPr>
        <w:t>、政治部</w:t>
      </w:r>
      <w:r>
        <w:rPr>
          <w:rFonts w:ascii="仿宋_GB2312" w:eastAsia="仿宋_GB2312"/>
          <w:sz w:val="32"/>
          <w:szCs w:val="32"/>
        </w:rPr>
        <w:t>。</w:t>
      </w:r>
    </w:p>
    <w:p>
      <w:pPr>
        <w:adjustRightInd w:val="0"/>
        <w:snapToGrid w:val="0"/>
        <w:spacing w:line="560" w:lineRule="exact"/>
        <w:ind w:firstLine="640" w:firstLineChars="200"/>
        <w:rPr>
          <w:rFonts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（二）决算单位构成。</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新邵县人民检察院2021年部门决算包含的主体范围是机关本级。</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rPr>
          <w:rFonts w:ascii="仿宋_GB2312" w:eastAsia="仿宋_GB2312"/>
          <w:sz w:val="32"/>
          <w:szCs w:val="32"/>
        </w:rPr>
      </w:pPr>
    </w:p>
    <w:p>
      <w:pPr>
        <w:rPr>
          <w:rFonts w:ascii="方正黑体_GBK" w:hAnsi="方正黑体_GBK" w:eastAsia="方正黑体_GBK" w:cs="方正黑体_GBK"/>
          <w:sz w:val="44"/>
          <w:szCs w:val="44"/>
        </w:rPr>
        <w:sectPr>
          <w:pgSz w:w="11906" w:h="16838"/>
          <w:pgMar w:top="2041" w:right="1531" w:bottom="2041" w:left="1531" w:header="851" w:footer="992" w:gutter="0"/>
          <w:cols w:space="0" w:num="1"/>
          <w:docGrid w:type="linesAndChars" w:linePitch="312" w:charSpace="0"/>
        </w:sectPr>
      </w:pPr>
    </w:p>
    <w:p>
      <w:pPr>
        <w:spacing w:line="520" w:lineRule="exact"/>
        <w:jc w:val="center"/>
        <w:rPr>
          <w:rFonts w:ascii="方正黑体_GBK" w:hAnsi="方正黑体_GBK" w:eastAsia="方正黑体_GBK" w:cs="方正黑体_GBK"/>
          <w:sz w:val="44"/>
          <w:szCs w:val="44"/>
        </w:rPr>
      </w:pPr>
    </w:p>
    <w:p>
      <w:pPr>
        <w:spacing w:line="520" w:lineRule="exact"/>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第二部分 部门决算表</w:t>
      </w:r>
    </w:p>
    <w:p>
      <w:pPr>
        <w:spacing w:line="520" w:lineRule="exact"/>
        <w:rPr>
          <w:rFonts w:ascii="方正黑体_GBK" w:hAnsi="方正黑体_GBK" w:eastAsia="方正黑体_GBK" w:cs="方正黑体_GBK"/>
          <w:sz w:val="44"/>
          <w:szCs w:val="44"/>
        </w:rPr>
      </w:pPr>
    </w:p>
    <w:tbl>
      <w:tblPr>
        <w:tblStyle w:val="8"/>
        <w:tblW w:w="10275" w:type="dxa"/>
        <w:tblInd w:w="-650" w:type="dxa"/>
        <w:tblLayout w:type="autofit"/>
        <w:tblCellMar>
          <w:top w:w="0" w:type="dxa"/>
          <w:left w:w="108" w:type="dxa"/>
          <w:bottom w:w="0" w:type="dxa"/>
          <w:right w:w="108" w:type="dxa"/>
        </w:tblCellMar>
      </w:tblPr>
      <w:tblGrid>
        <w:gridCol w:w="3423"/>
        <w:gridCol w:w="663"/>
        <w:gridCol w:w="1016"/>
        <w:gridCol w:w="3336"/>
        <w:gridCol w:w="690"/>
        <w:gridCol w:w="1147"/>
      </w:tblGrid>
      <w:tr>
        <w:tblPrEx>
          <w:tblCellMar>
            <w:top w:w="0" w:type="dxa"/>
            <w:left w:w="108" w:type="dxa"/>
            <w:bottom w:w="0" w:type="dxa"/>
            <w:right w:w="108" w:type="dxa"/>
          </w:tblCellMar>
        </w:tblPrEx>
        <w:trPr>
          <w:trHeight w:val="337" w:hRule="atLeast"/>
        </w:trPr>
        <w:tc>
          <w:tcPr>
            <w:tcW w:w="10275" w:type="dxa"/>
            <w:gridSpan w:val="6"/>
            <w:tcBorders>
              <w:top w:val="nil"/>
              <w:left w:val="nil"/>
              <w:bottom w:val="nil"/>
              <w:right w:val="single" w:color="80808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24"/>
                <w:szCs w:val="24"/>
              </w:rPr>
              <w:t>收入支出决算总表</w:t>
            </w:r>
          </w:p>
        </w:tc>
      </w:tr>
      <w:tr>
        <w:tblPrEx>
          <w:tblCellMar>
            <w:top w:w="0" w:type="dxa"/>
            <w:left w:w="108" w:type="dxa"/>
            <w:bottom w:w="0" w:type="dxa"/>
            <w:right w:w="108" w:type="dxa"/>
          </w:tblCellMar>
        </w:tblPrEx>
        <w:trPr>
          <w:trHeight w:val="336" w:hRule="atLeast"/>
        </w:trPr>
        <w:tc>
          <w:tcPr>
            <w:tcW w:w="3425"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663"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1012"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5175" w:type="dxa"/>
            <w:gridSpan w:val="3"/>
            <w:tcBorders>
              <w:top w:val="nil"/>
              <w:left w:val="nil"/>
              <w:bottom w:val="nil"/>
              <w:right w:val="single" w:color="80808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3425" w:type="dxa"/>
            <w:tcBorders>
              <w:top w:val="nil"/>
              <w:left w:val="nil"/>
              <w:bottom w:val="single" w:color="808080" w:sz="4" w:space="0"/>
              <w:right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部门：新邵县人民检察院</w:t>
            </w:r>
          </w:p>
        </w:tc>
        <w:tc>
          <w:tcPr>
            <w:tcW w:w="1675" w:type="dxa"/>
            <w:gridSpan w:val="2"/>
            <w:tcBorders>
              <w:top w:val="nil"/>
              <w:left w:val="nil"/>
              <w:bottom w:val="single" w:color="808080" w:sz="4" w:space="0"/>
              <w:right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2021年度</w:t>
            </w:r>
          </w:p>
        </w:tc>
        <w:tc>
          <w:tcPr>
            <w:tcW w:w="5175" w:type="dxa"/>
            <w:gridSpan w:val="3"/>
            <w:tcBorders>
              <w:top w:val="nil"/>
              <w:left w:val="nil"/>
              <w:bottom w:val="single" w:color="808080" w:sz="4" w:space="0"/>
              <w:right w:val="single" w:color="80808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5100" w:type="dxa"/>
            <w:gridSpan w:val="3"/>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收入</w:t>
            </w:r>
          </w:p>
        </w:tc>
        <w:tc>
          <w:tcPr>
            <w:tcW w:w="5175" w:type="dxa"/>
            <w:gridSpan w:val="3"/>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01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3338" w:type="dxa"/>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4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663"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338" w:type="dxa"/>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690"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4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一、一般公共预算财政拨款收入</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1,283.51</w:t>
            </w: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二、政府性基金预算财政拨款收入</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三、国有资本经营预算财政拨款收入</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四、上级补助收入</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1,331.98</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五、事业收入</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六、经营收入</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七、附属单位上缴收入</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八、其他收入</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138.13</w:t>
            </w: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62.20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十四、资源勘探工业信息等支出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74.87</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二十一、国有资本经营预算支出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二十二、灾害防治及应急管理支出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二十三、其他支出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二十四、债务还本支出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二十五、债务付息支出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二十六、抗疫特别国债安排的支出</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1,421.64</w:t>
            </w:r>
          </w:p>
        </w:tc>
        <w:tc>
          <w:tcPr>
            <w:tcW w:w="33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1,502.05</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使用非财政拨款结余</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结余分配</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59</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204.28</w:t>
            </w:r>
          </w:p>
        </w:tc>
        <w:tc>
          <w:tcPr>
            <w:tcW w:w="333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123.87</w:t>
            </w: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0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333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w:t>
            </w:r>
          </w:p>
        </w:tc>
        <w:tc>
          <w:tcPr>
            <w:tcW w:w="114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3425"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01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1,625.92</w:t>
            </w:r>
          </w:p>
        </w:tc>
        <w:tc>
          <w:tcPr>
            <w:tcW w:w="3338" w:type="dxa"/>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69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w:t>
            </w:r>
          </w:p>
        </w:tc>
        <w:tc>
          <w:tcPr>
            <w:tcW w:w="114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1,625.92</w:t>
            </w:r>
          </w:p>
        </w:tc>
      </w:tr>
      <w:tr>
        <w:tblPrEx>
          <w:tblCellMar>
            <w:top w:w="0" w:type="dxa"/>
            <w:left w:w="108" w:type="dxa"/>
            <w:bottom w:w="0" w:type="dxa"/>
            <w:right w:w="108" w:type="dxa"/>
          </w:tblCellMar>
        </w:tblPrEx>
        <w:trPr>
          <w:trHeight w:val="300" w:hRule="atLeast"/>
        </w:trPr>
        <w:tc>
          <w:tcPr>
            <w:tcW w:w="10275"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注：1.本表反映部门本年度的总收支和年末结转结余情况。</w:t>
            </w:r>
          </w:p>
        </w:tc>
      </w:tr>
      <w:tr>
        <w:tblPrEx>
          <w:tblCellMar>
            <w:top w:w="0" w:type="dxa"/>
            <w:left w:w="108" w:type="dxa"/>
            <w:bottom w:w="0" w:type="dxa"/>
            <w:right w:w="108" w:type="dxa"/>
          </w:tblCellMar>
        </w:tblPrEx>
        <w:trPr>
          <w:trHeight w:val="300" w:hRule="atLeast"/>
        </w:trPr>
        <w:tc>
          <w:tcPr>
            <w:tcW w:w="10275"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2.本套报表金额单位转换时可能存在尾数误差。</w:t>
            </w:r>
          </w:p>
        </w:tc>
      </w:tr>
    </w:tbl>
    <w:p>
      <w:pPr>
        <w:widowControl/>
        <w:spacing w:line="360" w:lineRule="exact"/>
        <w:jc w:val="center"/>
        <w:rPr>
          <w:rFonts w:ascii="黑体" w:hAnsi="宋体" w:eastAsia="黑体" w:cs="黑体"/>
          <w:color w:val="000000"/>
          <w:kern w:val="0"/>
          <w:sz w:val="30"/>
          <w:szCs w:val="30"/>
        </w:rPr>
      </w:pPr>
    </w:p>
    <w:p>
      <w:pPr>
        <w:widowControl/>
        <w:spacing w:line="360" w:lineRule="exact"/>
        <w:rPr>
          <w:rFonts w:ascii="黑体" w:hAnsi="宋体" w:eastAsia="黑体" w:cs="黑体"/>
          <w:color w:val="000000"/>
          <w:kern w:val="0"/>
          <w:sz w:val="30"/>
          <w:szCs w:val="30"/>
        </w:rPr>
        <w:sectPr>
          <w:pgSz w:w="11906" w:h="16838"/>
          <w:pgMar w:top="1134" w:right="1587" w:bottom="1134" w:left="1587" w:header="851" w:footer="992" w:gutter="0"/>
          <w:cols w:space="0" w:num="1"/>
          <w:docGrid w:type="linesAndChars" w:linePitch="312" w:charSpace="0"/>
        </w:sectPr>
      </w:pPr>
    </w:p>
    <w:tbl>
      <w:tblPr>
        <w:tblStyle w:val="8"/>
        <w:tblW w:w="9875" w:type="dxa"/>
        <w:tblInd w:w="-597" w:type="dxa"/>
        <w:tblLayout w:type="autofit"/>
        <w:tblCellMar>
          <w:top w:w="0" w:type="dxa"/>
          <w:left w:w="108" w:type="dxa"/>
          <w:bottom w:w="0" w:type="dxa"/>
          <w:right w:w="108" w:type="dxa"/>
        </w:tblCellMar>
      </w:tblPr>
      <w:tblGrid>
        <w:gridCol w:w="1094"/>
        <w:gridCol w:w="2332"/>
        <w:gridCol w:w="1023"/>
        <w:gridCol w:w="1023"/>
        <w:gridCol w:w="745"/>
        <w:gridCol w:w="846"/>
        <w:gridCol w:w="846"/>
        <w:gridCol w:w="863"/>
        <w:gridCol w:w="1103"/>
      </w:tblGrid>
      <w:tr>
        <w:tblPrEx>
          <w:tblCellMar>
            <w:top w:w="0" w:type="dxa"/>
            <w:left w:w="108" w:type="dxa"/>
            <w:bottom w:w="0" w:type="dxa"/>
            <w:right w:w="108" w:type="dxa"/>
          </w:tblCellMar>
        </w:tblPrEx>
        <w:trPr>
          <w:trHeight w:val="375" w:hRule="atLeast"/>
        </w:trPr>
        <w:tc>
          <w:tcPr>
            <w:tcW w:w="9875" w:type="dxa"/>
            <w:gridSpan w:val="9"/>
            <w:tcBorders>
              <w:top w:val="nil"/>
              <w:left w:val="nil"/>
              <w:bottom w:val="nil"/>
              <w:right w:val="single" w:color="80808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收入决算表</w:t>
            </w:r>
          </w:p>
        </w:tc>
      </w:tr>
      <w:tr>
        <w:tblPrEx>
          <w:tblCellMar>
            <w:top w:w="0" w:type="dxa"/>
            <w:left w:w="108" w:type="dxa"/>
            <w:bottom w:w="0" w:type="dxa"/>
            <w:right w:w="108" w:type="dxa"/>
          </w:tblCellMar>
        </w:tblPrEx>
        <w:trPr>
          <w:trHeight w:val="300" w:hRule="atLeast"/>
        </w:trPr>
        <w:tc>
          <w:tcPr>
            <w:tcW w:w="7891" w:type="dxa"/>
            <w:gridSpan w:val="7"/>
            <w:tcBorders>
              <w:top w:val="nil"/>
              <w:left w:val="nil"/>
              <w:bottom w:val="nil"/>
              <w:right w:val="nil"/>
            </w:tcBorders>
            <w:shd w:val="clear" w:color="auto" w:fill="auto"/>
            <w:vAlign w:val="center"/>
          </w:tcPr>
          <w:p>
            <w:pPr>
              <w:jc w:val="center"/>
              <w:rPr>
                <w:rFonts w:ascii="宋体" w:hAnsi="宋体" w:eastAsia="宋体" w:cs="宋体"/>
                <w:color w:val="000000"/>
                <w:sz w:val="20"/>
                <w:szCs w:val="20"/>
              </w:rPr>
            </w:pPr>
          </w:p>
        </w:tc>
        <w:tc>
          <w:tcPr>
            <w:tcW w:w="1984" w:type="dxa"/>
            <w:gridSpan w:val="2"/>
            <w:tcBorders>
              <w:top w:val="nil"/>
              <w:left w:val="nil"/>
              <w:bottom w:val="nil"/>
              <w:right w:val="single" w:color="80808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108" w:type="dxa"/>
            <w:bottom w:w="0" w:type="dxa"/>
            <w:right w:w="108" w:type="dxa"/>
          </w:tblCellMar>
        </w:tblPrEx>
        <w:trPr>
          <w:trHeight w:val="300" w:hRule="atLeast"/>
        </w:trPr>
        <w:tc>
          <w:tcPr>
            <w:tcW w:w="3499" w:type="dxa"/>
            <w:gridSpan w:val="2"/>
            <w:tcBorders>
              <w:top w:val="nil"/>
              <w:left w:val="nil"/>
              <w:bottom w:val="single" w:color="808080" w:sz="4" w:space="0"/>
              <w:right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部门：新邵县人民检察院</w:t>
            </w:r>
          </w:p>
        </w:tc>
        <w:tc>
          <w:tcPr>
            <w:tcW w:w="975" w:type="dxa"/>
            <w:tcBorders>
              <w:top w:val="nil"/>
              <w:left w:val="nil"/>
              <w:bottom w:val="single" w:color="808080" w:sz="4" w:space="0"/>
              <w:right w:val="nil"/>
            </w:tcBorders>
            <w:shd w:val="clear" w:color="auto" w:fill="auto"/>
            <w:vAlign w:val="center"/>
          </w:tcPr>
          <w:p>
            <w:pPr>
              <w:jc w:val="left"/>
              <w:rPr>
                <w:rFonts w:ascii="宋体" w:hAnsi="宋体" w:eastAsia="宋体" w:cs="宋体"/>
                <w:color w:val="000000"/>
                <w:sz w:val="20"/>
                <w:szCs w:val="20"/>
              </w:rPr>
            </w:pPr>
          </w:p>
        </w:tc>
        <w:tc>
          <w:tcPr>
            <w:tcW w:w="1709" w:type="dxa"/>
            <w:gridSpan w:val="2"/>
            <w:tcBorders>
              <w:top w:val="nil"/>
              <w:left w:val="nil"/>
              <w:bottom w:val="single" w:color="808080" w:sz="4" w:space="0"/>
              <w:right w:val="nil"/>
            </w:tcBorders>
            <w:shd w:val="clear" w:color="auto" w:fill="auto"/>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rPr>
              <w:t>2021年度</w:t>
            </w:r>
          </w:p>
        </w:tc>
        <w:tc>
          <w:tcPr>
            <w:tcW w:w="854" w:type="dxa"/>
            <w:tcBorders>
              <w:top w:val="nil"/>
              <w:left w:val="nil"/>
              <w:bottom w:val="single" w:color="808080" w:sz="4" w:space="0"/>
              <w:right w:val="nil"/>
            </w:tcBorders>
            <w:shd w:val="clear" w:color="auto" w:fill="auto"/>
            <w:vAlign w:val="center"/>
          </w:tcPr>
          <w:p>
            <w:pPr>
              <w:jc w:val="left"/>
              <w:rPr>
                <w:rFonts w:ascii="宋体" w:hAnsi="宋体" w:eastAsia="宋体" w:cs="宋体"/>
                <w:color w:val="000000"/>
                <w:sz w:val="20"/>
                <w:szCs w:val="20"/>
              </w:rPr>
            </w:pPr>
          </w:p>
        </w:tc>
        <w:tc>
          <w:tcPr>
            <w:tcW w:w="2838" w:type="dxa"/>
            <w:gridSpan w:val="3"/>
            <w:tcBorders>
              <w:top w:val="nil"/>
              <w:left w:val="nil"/>
              <w:bottom w:val="single" w:color="808080" w:sz="4" w:space="0"/>
              <w:right w:val="single" w:color="80808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349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97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财政拨款收入</w:t>
            </w:r>
          </w:p>
        </w:tc>
        <w:tc>
          <w:tcPr>
            <w:tcW w:w="74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上级补助收入</w:t>
            </w:r>
          </w:p>
        </w:tc>
        <w:tc>
          <w:tcPr>
            <w:tcW w:w="85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事业收入</w:t>
            </w:r>
          </w:p>
        </w:tc>
        <w:tc>
          <w:tcPr>
            <w:tcW w:w="85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经营收入</w:t>
            </w:r>
          </w:p>
        </w:tc>
        <w:tc>
          <w:tcPr>
            <w:tcW w:w="87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附属单位上缴收入</w:t>
            </w:r>
          </w:p>
        </w:tc>
        <w:tc>
          <w:tcPr>
            <w:tcW w:w="111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其他收入</w:t>
            </w:r>
          </w:p>
        </w:tc>
      </w:tr>
      <w:tr>
        <w:tblPrEx>
          <w:tblCellMar>
            <w:top w:w="0" w:type="dxa"/>
            <w:left w:w="108" w:type="dxa"/>
            <w:bottom w:w="0" w:type="dxa"/>
            <w:right w:w="108" w:type="dxa"/>
          </w:tblCellMar>
        </w:tblPrEx>
        <w:trPr>
          <w:trHeight w:val="312" w:hRule="atLeast"/>
        </w:trPr>
        <w:tc>
          <w:tcPr>
            <w:tcW w:w="1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239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4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1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11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9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4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1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110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9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4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7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1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349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9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4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5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7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11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r>
      <w:tr>
        <w:tblPrEx>
          <w:tblCellMar>
            <w:top w:w="0" w:type="dxa"/>
            <w:left w:w="108" w:type="dxa"/>
            <w:bottom w:w="0" w:type="dxa"/>
            <w:right w:w="108" w:type="dxa"/>
          </w:tblCellMar>
        </w:tblPrEx>
        <w:trPr>
          <w:trHeight w:val="300" w:hRule="atLeast"/>
        </w:trPr>
        <w:tc>
          <w:tcPr>
            <w:tcW w:w="3499" w:type="dxa"/>
            <w:gridSpan w:val="2"/>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1,421.64</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1,283.51</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138.13</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公共安全支出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1,249.44</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1,111.31</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138.13</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20404</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检察</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1,249.44</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1,111.31</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138.13</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2040401</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1,121.04</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982.91</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138.13</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2040402</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一般行政管理事务</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128.40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128.40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教育支出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20508</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进修及培训</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2050803</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社会保障和就业支出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62.20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62.20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20805</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行政事业单位养老支出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53.00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53.00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54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20899</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其他社会保障和就业支出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9.20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9.20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2089999</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其他社会保障和就业支出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9.20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9.20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卫生健康支出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21011</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行政事业单位医疗</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2101101</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行政单位医疗</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住房保障支出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77.00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77.00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22102</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住房改革支出</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77.00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77.00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0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239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77.00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77.00</w:t>
            </w:r>
          </w:p>
        </w:tc>
        <w:tc>
          <w:tcPr>
            <w:tcW w:w="74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5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7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1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9875" w:type="dxa"/>
            <w:gridSpan w:val="9"/>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注：本表反映部门本年度取得的各项收入情况。</w:t>
            </w:r>
          </w:p>
        </w:tc>
      </w:tr>
      <w:tr>
        <w:tblPrEx>
          <w:tblCellMar>
            <w:top w:w="0" w:type="dxa"/>
            <w:left w:w="108" w:type="dxa"/>
            <w:bottom w:w="0" w:type="dxa"/>
            <w:right w:w="108" w:type="dxa"/>
          </w:tblCellMar>
        </w:tblPrEx>
        <w:trPr>
          <w:trHeight w:val="332" w:hRule="atLeast"/>
        </w:trPr>
        <w:tc>
          <w:tcPr>
            <w:tcW w:w="9875" w:type="dxa"/>
            <w:gridSpan w:val="9"/>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0"/>
                <w:szCs w:val="20"/>
              </w:rPr>
            </w:pPr>
          </w:p>
        </w:tc>
      </w:tr>
    </w:tbl>
    <w:tbl>
      <w:tblPr>
        <w:tblStyle w:val="8"/>
        <w:tblpPr w:leftFromText="180" w:rightFromText="180" w:vertAnchor="text" w:horzAnchor="page" w:tblpX="1026" w:tblpY="942"/>
        <w:tblOverlap w:val="never"/>
        <w:tblW w:w="10050" w:type="dxa"/>
        <w:tblInd w:w="0" w:type="dxa"/>
        <w:tblLayout w:type="fixed"/>
        <w:tblCellMar>
          <w:top w:w="0" w:type="dxa"/>
          <w:left w:w="108" w:type="dxa"/>
          <w:bottom w:w="0" w:type="dxa"/>
          <w:right w:w="108" w:type="dxa"/>
        </w:tblCellMar>
      </w:tblPr>
      <w:tblGrid>
        <w:gridCol w:w="1150"/>
        <w:gridCol w:w="2187"/>
        <w:gridCol w:w="1200"/>
        <w:gridCol w:w="1013"/>
        <w:gridCol w:w="962"/>
        <w:gridCol w:w="1163"/>
        <w:gridCol w:w="1100"/>
        <w:gridCol w:w="1275"/>
      </w:tblGrid>
      <w:tr>
        <w:tblPrEx>
          <w:tblCellMar>
            <w:top w:w="0" w:type="dxa"/>
            <w:left w:w="108" w:type="dxa"/>
            <w:bottom w:w="0" w:type="dxa"/>
            <w:right w:w="108" w:type="dxa"/>
          </w:tblCellMar>
        </w:tblPrEx>
        <w:trPr>
          <w:trHeight w:val="375" w:hRule="atLeast"/>
        </w:trPr>
        <w:tc>
          <w:tcPr>
            <w:tcW w:w="10050" w:type="dxa"/>
            <w:gridSpan w:val="8"/>
            <w:tcBorders>
              <w:top w:val="nil"/>
              <w:left w:val="nil"/>
              <w:bottom w:val="nil"/>
              <w:right w:val="single" w:color="808080" w:sz="4" w:space="0"/>
            </w:tcBorders>
            <w:shd w:val="clear" w:color="auto" w:fill="auto"/>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支出决算表</w:t>
            </w:r>
          </w:p>
        </w:tc>
      </w:tr>
      <w:tr>
        <w:tblPrEx>
          <w:tblCellMar>
            <w:top w:w="0" w:type="dxa"/>
            <w:left w:w="108" w:type="dxa"/>
            <w:bottom w:w="0" w:type="dxa"/>
            <w:right w:w="108" w:type="dxa"/>
          </w:tblCellMar>
        </w:tblPrEx>
        <w:trPr>
          <w:trHeight w:val="300" w:hRule="atLeast"/>
        </w:trPr>
        <w:tc>
          <w:tcPr>
            <w:tcW w:w="7675" w:type="dxa"/>
            <w:gridSpan w:val="6"/>
            <w:tcBorders>
              <w:top w:val="nil"/>
              <w:left w:val="nil"/>
              <w:bottom w:val="nil"/>
              <w:right w:val="nil"/>
            </w:tcBorders>
            <w:shd w:val="clear" w:color="auto" w:fill="auto"/>
            <w:noWrap/>
            <w:vAlign w:val="center"/>
          </w:tcPr>
          <w:p>
            <w:pPr>
              <w:jc w:val="center"/>
              <w:rPr>
                <w:rFonts w:ascii="宋体" w:hAnsi="宋体" w:eastAsia="宋体" w:cs="宋体"/>
                <w:color w:val="000000"/>
                <w:sz w:val="20"/>
                <w:szCs w:val="20"/>
              </w:rPr>
            </w:pPr>
          </w:p>
        </w:tc>
        <w:tc>
          <w:tcPr>
            <w:tcW w:w="2375" w:type="dxa"/>
            <w:gridSpan w:val="2"/>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00" w:hRule="atLeast"/>
        </w:trPr>
        <w:tc>
          <w:tcPr>
            <w:tcW w:w="3337" w:type="dxa"/>
            <w:gridSpan w:val="2"/>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部门：新邵县人民检察院</w:t>
            </w:r>
          </w:p>
        </w:tc>
        <w:tc>
          <w:tcPr>
            <w:tcW w:w="1200"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2021年度</w:t>
            </w:r>
          </w:p>
        </w:tc>
        <w:tc>
          <w:tcPr>
            <w:tcW w:w="1013"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962"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1163"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2375" w:type="dxa"/>
            <w:gridSpan w:val="2"/>
            <w:tcBorders>
              <w:top w:val="nil"/>
              <w:left w:val="nil"/>
              <w:bottom w:val="single" w:color="808080" w:sz="4" w:space="0"/>
              <w:right w:val="single" w:color="80808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3337"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2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101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96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116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上缴上级支出</w:t>
            </w:r>
          </w:p>
        </w:tc>
        <w:tc>
          <w:tcPr>
            <w:tcW w:w="11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经营支出</w:t>
            </w:r>
          </w:p>
        </w:tc>
        <w:tc>
          <w:tcPr>
            <w:tcW w:w="127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对附属单位补助支出</w:t>
            </w:r>
          </w:p>
        </w:tc>
      </w:tr>
      <w:tr>
        <w:tblPrEx>
          <w:tblCellMar>
            <w:top w:w="0" w:type="dxa"/>
            <w:left w:w="108" w:type="dxa"/>
            <w:bottom w:w="0" w:type="dxa"/>
            <w:right w:w="108" w:type="dxa"/>
          </w:tblCellMar>
        </w:tblPrEx>
        <w:trPr>
          <w:trHeight w:val="312" w:hRule="atLeast"/>
        </w:trPr>
        <w:tc>
          <w:tcPr>
            <w:tcW w:w="11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2187"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6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11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87"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6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115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87"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6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3337"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01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96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1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1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300" w:hRule="atLeast"/>
        </w:trPr>
        <w:tc>
          <w:tcPr>
            <w:tcW w:w="3337"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1,502.05</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1,256.71</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245.34</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公共安全支出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1,331.98</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1,086.64</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245.34</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20404</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检察</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1,331.98</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1,086.64</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245.34</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2040401</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1,086.64</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1,086.64</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2040402</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一般行政管理事务</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245.34</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245.34</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教育支出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20508</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进修及培训</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2050803</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社会保障和就业支出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62.20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62.20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20805</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行政事业单位养老支出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53.00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53.00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53.00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20899</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其他社会保障和就业支出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9.20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9.20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2089999</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其他社会保障和就业支出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9.20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9.20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卫生健康支出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21011</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行政事业单位医疗</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2101101</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行政单位医疗</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住房保障支出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74.87</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74.87</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22102</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住房改革支出</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74.87</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74.87</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218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74.87</w:t>
            </w:r>
          </w:p>
        </w:tc>
        <w:tc>
          <w:tcPr>
            <w:tcW w:w="101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74.87</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50" w:type="dxa"/>
            <w:gridSpan w:val="8"/>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注：本表反映部门本年度各项支出情况。</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sectPr>
          <w:pgSz w:w="11906" w:h="16838"/>
          <w:pgMar w:top="1440" w:right="1797" w:bottom="1440" w:left="1797"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p>
    <w:tbl>
      <w:tblPr>
        <w:tblStyle w:val="8"/>
        <w:tblW w:w="15228" w:type="dxa"/>
        <w:tblInd w:w="93" w:type="dxa"/>
        <w:tblLayout w:type="fixed"/>
        <w:tblCellMar>
          <w:top w:w="0" w:type="dxa"/>
          <w:left w:w="108" w:type="dxa"/>
          <w:bottom w:w="0" w:type="dxa"/>
          <w:right w:w="108" w:type="dxa"/>
        </w:tblCellMar>
      </w:tblPr>
      <w:tblGrid>
        <w:gridCol w:w="2835"/>
        <w:gridCol w:w="569"/>
        <w:gridCol w:w="916"/>
        <w:gridCol w:w="3783"/>
        <w:gridCol w:w="1075"/>
        <w:gridCol w:w="1362"/>
        <w:gridCol w:w="1425"/>
        <w:gridCol w:w="1563"/>
        <w:gridCol w:w="1700"/>
      </w:tblGrid>
      <w:tr>
        <w:tblPrEx>
          <w:tblCellMar>
            <w:top w:w="0" w:type="dxa"/>
            <w:left w:w="108" w:type="dxa"/>
            <w:bottom w:w="0" w:type="dxa"/>
            <w:right w:w="108" w:type="dxa"/>
          </w:tblCellMar>
        </w:tblPrEx>
        <w:trPr>
          <w:trHeight w:val="375" w:hRule="atLeast"/>
        </w:trPr>
        <w:tc>
          <w:tcPr>
            <w:tcW w:w="15228" w:type="dxa"/>
            <w:gridSpan w:val="9"/>
            <w:tcBorders>
              <w:top w:val="nil"/>
              <w:left w:val="nil"/>
              <w:bottom w:val="nil"/>
              <w:right w:val="single" w:color="808080" w:sz="4" w:space="0"/>
            </w:tcBorders>
            <w:shd w:val="clear" w:color="auto" w:fill="auto"/>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财政拨款收入支出决算总表</w:t>
            </w:r>
          </w:p>
        </w:tc>
      </w:tr>
      <w:tr>
        <w:tblPrEx>
          <w:tblCellMar>
            <w:top w:w="0" w:type="dxa"/>
            <w:left w:w="108" w:type="dxa"/>
            <w:bottom w:w="0" w:type="dxa"/>
            <w:right w:w="108" w:type="dxa"/>
          </w:tblCellMar>
        </w:tblPrEx>
        <w:trPr>
          <w:trHeight w:val="300" w:hRule="atLeast"/>
        </w:trPr>
        <w:tc>
          <w:tcPr>
            <w:tcW w:w="283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916"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3783"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07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362"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42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563"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700" w:type="dxa"/>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2835" w:type="dxa"/>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部门：新邵县人民检察院</w:t>
            </w:r>
          </w:p>
        </w:tc>
        <w:tc>
          <w:tcPr>
            <w:tcW w:w="569"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916"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6220" w:type="dxa"/>
            <w:gridSpan w:val="3"/>
            <w:tcBorders>
              <w:top w:val="nil"/>
              <w:left w:val="nil"/>
              <w:bottom w:val="single" w:color="808080" w:sz="4" w:space="0"/>
              <w:right w:val="nil"/>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rPr>
              <w:t>2021年度</w:t>
            </w:r>
          </w:p>
        </w:tc>
        <w:tc>
          <w:tcPr>
            <w:tcW w:w="142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1563"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1700" w:type="dxa"/>
            <w:tcBorders>
              <w:top w:val="nil"/>
              <w:left w:val="nil"/>
              <w:bottom w:val="single" w:color="808080" w:sz="4" w:space="0"/>
              <w:right w:val="single" w:color="80808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43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     入</w:t>
            </w:r>
          </w:p>
        </w:tc>
        <w:tc>
          <w:tcPr>
            <w:tcW w:w="10908" w:type="dxa"/>
            <w:gridSpan w:val="6"/>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     出</w:t>
            </w:r>
          </w:p>
        </w:tc>
      </w:tr>
      <w:tr>
        <w:tblPrEx>
          <w:tblCellMar>
            <w:top w:w="0" w:type="dxa"/>
            <w:left w:w="108" w:type="dxa"/>
            <w:bottom w:w="0" w:type="dxa"/>
            <w:right w:w="108" w:type="dxa"/>
          </w:tblCellMar>
        </w:tblPrEx>
        <w:trPr>
          <w:trHeight w:val="312" w:hRule="atLeast"/>
        </w:trPr>
        <w:tc>
          <w:tcPr>
            <w:tcW w:w="283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69"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91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3783" w:type="dxa"/>
            <w:vMerge w:val="restart"/>
            <w:tcBorders>
              <w:top w:val="nil"/>
              <w:left w:val="nil"/>
              <w:bottom w:val="single" w:color="000000" w:sz="4" w:space="0"/>
              <w:right w:val="single" w:color="000000" w:sz="4" w:space="0"/>
            </w:tcBorders>
            <w:shd w:val="clear" w:color="auto" w:fill="auto"/>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07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62"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一般公共预算财政拨款</w:t>
            </w:r>
          </w:p>
        </w:tc>
        <w:tc>
          <w:tcPr>
            <w:tcW w:w="156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政府性基金预算财政拨款</w:t>
            </w:r>
          </w:p>
        </w:tc>
        <w:tc>
          <w:tcPr>
            <w:tcW w:w="17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2835"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69"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1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783" w:type="dxa"/>
            <w:vMerge w:val="continue"/>
            <w:tcBorders>
              <w:top w:val="nil"/>
              <w:left w:val="nil"/>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c>
          <w:tcPr>
            <w:tcW w:w="107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362"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4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6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7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569"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91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783" w:type="dxa"/>
            <w:tcBorders>
              <w:top w:val="nil"/>
              <w:left w:val="nil"/>
              <w:bottom w:val="single" w:color="000000" w:sz="4" w:space="0"/>
              <w:right w:val="single" w:color="000000" w:sz="4" w:space="0"/>
            </w:tcBorders>
            <w:shd w:val="clear" w:color="auto" w:fill="auto"/>
            <w:noWrap/>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075"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36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1,283.51</w:t>
            </w: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w:t>
            </w: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三、国有资本经营财政拨款</w:t>
            </w: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1,193.85</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1,193.85</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62.20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62.20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十四、资源勘探工业信息等支出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74.87</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74.87</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二十一、国有资本经营预算支出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二十二、灾害防治及应急管理支出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二十三、其他支出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二十四、债务还本支出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二十五、债务付息支出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二十六、抗疫特别国债安排的支出</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1,283.51</w:t>
            </w:r>
          </w:p>
        </w:tc>
        <w:tc>
          <w:tcPr>
            <w:tcW w:w="378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59</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1,363.92</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1,363.92</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年初财政拨款结转和结余</w:t>
            </w: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204.28</w:t>
            </w:r>
          </w:p>
        </w:tc>
        <w:tc>
          <w:tcPr>
            <w:tcW w:w="378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年末财政拨款结转和结余</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123.87</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123.87</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一般公共预算财政拨款</w:t>
            </w: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204.28</w:t>
            </w:r>
          </w:p>
        </w:tc>
        <w:tc>
          <w:tcPr>
            <w:tcW w:w="3783"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w:t>
            </w:r>
          </w:p>
        </w:tc>
        <w:tc>
          <w:tcPr>
            <w:tcW w:w="13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56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政府性基金预算财政拨款</w:t>
            </w: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783"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w:t>
            </w:r>
          </w:p>
        </w:tc>
        <w:tc>
          <w:tcPr>
            <w:tcW w:w="13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56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国有资本经营预算财政拨款</w:t>
            </w: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783"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63</w:t>
            </w:r>
          </w:p>
        </w:tc>
        <w:tc>
          <w:tcPr>
            <w:tcW w:w="13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56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7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2835"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91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1,487.79</w:t>
            </w:r>
          </w:p>
        </w:tc>
        <w:tc>
          <w:tcPr>
            <w:tcW w:w="3783" w:type="dxa"/>
            <w:tcBorders>
              <w:top w:val="nil"/>
              <w:left w:val="nil"/>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10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w:t>
            </w:r>
          </w:p>
        </w:tc>
        <w:tc>
          <w:tcPr>
            <w:tcW w:w="13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1,487.79</w:t>
            </w:r>
          </w:p>
        </w:tc>
        <w:tc>
          <w:tcPr>
            <w:tcW w:w="14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1,487.79</w:t>
            </w:r>
          </w:p>
        </w:tc>
        <w:tc>
          <w:tcPr>
            <w:tcW w:w="15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3528" w:type="dxa"/>
            <w:gridSpan w:val="8"/>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注：本表反映部门本年度一般公共预算财政拨款、政府性基金预算财政拨款和国有资本经营预算财政拨款的总收支和年末结转结余情况。</w:t>
            </w:r>
          </w:p>
        </w:tc>
        <w:tc>
          <w:tcPr>
            <w:tcW w:w="1700"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4893" w:type="dxa"/>
        <w:tblInd w:w="93" w:type="dxa"/>
        <w:tblLayout w:type="fixed"/>
        <w:tblCellMar>
          <w:top w:w="0" w:type="dxa"/>
          <w:left w:w="108" w:type="dxa"/>
          <w:bottom w:w="0" w:type="dxa"/>
          <w:right w:w="108" w:type="dxa"/>
        </w:tblCellMar>
      </w:tblPr>
      <w:tblGrid>
        <w:gridCol w:w="745"/>
        <w:gridCol w:w="745"/>
        <w:gridCol w:w="1175"/>
        <w:gridCol w:w="6247"/>
        <w:gridCol w:w="1508"/>
        <w:gridCol w:w="1503"/>
        <w:gridCol w:w="2970"/>
      </w:tblGrid>
      <w:tr>
        <w:tblPrEx>
          <w:tblCellMar>
            <w:top w:w="0" w:type="dxa"/>
            <w:left w:w="108" w:type="dxa"/>
            <w:bottom w:w="0" w:type="dxa"/>
            <w:right w:w="108" w:type="dxa"/>
          </w:tblCellMar>
        </w:tblPrEx>
        <w:trPr>
          <w:trHeight w:val="375" w:hRule="atLeast"/>
        </w:trPr>
        <w:tc>
          <w:tcPr>
            <w:tcW w:w="14893" w:type="dxa"/>
            <w:gridSpan w:val="7"/>
            <w:tcBorders>
              <w:top w:val="nil"/>
              <w:left w:val="nil"/>
              <w:bottom w:val="nil"/>
              <w:right w:val="single" w:color="808080" w:sz="4" w:space="0"/>
            </w:tcBorders>
            <w:shd w:val="clear" w:color="auto" w:fill="auto"/>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一般公共预算财政拨款支出决算表</w:t>
            </w:r>
          </w:p>
        </w:tc>
      </w:tr>
      <w:tr>
        <w:tblPrEx>
          <w:tblCellMar>
            <w:top w:w="0" w:type="dxa"/>
            <w:left w:w="108" w:type="dxa"/>
            <w:bottom w:w="0" w:type="dxa"/>
            <w:right w:w="108" w:type="dxa"/>
          </w:tblCellMar>
        </w:tblPrEx>
        <w:trPr>
          <w:trHeight w:val="300" w:hRule="atLeast"/>
        </w:trPr>
        <w:tc>
          <w:tcPr>
            <w:tcW w:w="74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74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17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6247"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508"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503"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2970" w:type="dxa"/>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300" w:hRule="atLeast"/>
        </w:trPr>
        <w:tc>
          <w:tcPr>
            <w:tcW w:w="2665" w:type="dxa"/>
            <w:gridSpan w:val="3"/>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rPr>
              <w:t>部门：新邵县人民检察院</w:t>
            </w:r>
          </w:p>
        </w:tc>
        <w:tc>
          <w:tcPr>
            <w:tcW w:w="6247"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2021年度</w:t>
            </w:r>
          </w:p>
        </w:tc>
        <w:tc>
          <w:tcPr>
            <w:tcW w:w="1508"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1503"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2970" w:type="dxa"/>
            <w:tcBorders>
              <w:top w:val="nil"/>
              <w:left w:val="nil"/>
              <w:bottom w:val="single" w:color="808080" w:sz="4" w:space="0"/>
              <w:right w:val="single" w:color="80808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891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981"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12" w:hRule="atLeast"/>
        </w:trPr>
        <w:tc>
          <w:tcPr>
            <w:tcW w:w="266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6247"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50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50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297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12" w:hRule="atLeast"/>
        </w:trPr>
        <w:tc>
          <w:tcPr>
            <w:tcW w:w="2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47"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0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97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2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47"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50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50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97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891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00" w:hRule="atLeast"/>
        </w:trPr>
        <w:tc>
          <w:tcPr>
            <w:tcW w:w="891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1,363.92</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1,118.58</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245.34</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公共安全支出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1,193.85</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948.51</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245.34</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20404</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检察</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1,193.85</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948.51</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245.34</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2040401</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948.51</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948.51</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2040402</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一般行政管理事务</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245.34</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245.34</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教育支出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20508</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进修及培训</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2050803</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社会保障和就业支出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62.20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62.20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20805</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行政事业单位养老支出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53.00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53.00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53.00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53.00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20899</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其他社会保障和就业支出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9.20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9.20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2089999</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其他社会保障和就业支出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9.20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9.20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卫生健康支出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21011</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行政事业单位医疗</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28.00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2101101</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行政单位医疗</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28.00</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住房保障支出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74.87</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74.87</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22102</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住房改革支出</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74.87</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74.87</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66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62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150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74.87</w:t>
            </w:r>
          </w:p>
        </w:tc>
        <w:tc>
          <w:tcPr>
            <w:tcW w:w="150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74.87</w:t>
            </w:r>
          </w:p>
        </w:tc>
        <w:tc>
          <w:tcPr>
            <w:tcW w:w="297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893" w:type="dxa"/>
            <w:gridSpan w:val="7"/>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1128"/>
        <w:gridCol w:w="3300"/>
        <w:gridCol w:w="962"/>
        <w:gridCol w:w="1050"/>
        <w:gridCol w:w="2363"/>
        <w:gridCol w:w="835"/>
        <w:gridCol w:w="1127"/>
        <w:gridCol w:w="3738"/>
        <w:gridCol w:w="1018"/>
      </w:tblGrid>
      <w:tr>
        <w:tblPrEx>
          <w:tblCellMar>
            <w:top w:w="0" w:type="dxa"/>
            <w:left w:w="108" w:type="dxa"/>
            <w:bottom w:w="0" w:type="dxa"/>
            <w:right w:w="108" w:type="dxa"/>
          </w:tblCellMar>
        </w:tblPrEx>
        <w:trPr>
          <w:trHeight w:val="375" w:hRule="atLeast"/>
        </w:trPr>
        <w:tc>
          <w:tcPr>
            <w:tcW w:w="15521" w:type="dxa"/>
            <w:gridSpan w:val="9"/>
            <w:tcBorders>
              <w:top w:val="nil"/>
              <w:left w:val="nil"/>
              <w:bottom w:val="nil"/>
              <w:right w:val="single" w:color="808080" w:sz="4" w:space="0"/>
            </w:tcBorders>
            <w:shd w:val="clear" w:color="auto" w:fill="auto"/>
            <w:noWrap/>
            <w:vAlign w:val="center"/>
          </w:tcPr>
          <w:p>
            <w:pPr>
              <w:jc w:val="center"/>
              <w:rPr>
                <w:rFonts w:ascii="宋体" w:hAnsi="宋体" w:eastAsia="宋体" w:cs="宋体"/>
                <w:color w:val="000000"/>
                <w:sz w:val="18"/>
                <w:szCs w:val="18"/>
              </w:rPr>
            </w:pPr>
            <w:bookmarkStart w:id="5" w:name="RANGE!A1:F16"/>
            <w:r>
              <w:rPr>
                <w:rFonts w:hint="eastAsia" w:ascii="黑体" w:hAnsi="宋体" w:eastAsia="黑体" w:cs="黑体"/>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300" w:hRule="atLeast"/>
        </w:trPr>
        <w:tc>
          <w:tcPr>
            <w:tcW w:w="1128"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3300"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962"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050"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2363"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835"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1127"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c>
          <w:tcPr>
            <w:tcW w:w="4756" w:type="dxa"/>
            <w:gridSpan w:val="2"/>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trHeight w:val="300" w:hRule="atLeast"/>
        </w:trPr>
        <w:tc>
          <w:tcPr>
            <w:tcW w:w="4428" w:type="dxa"/>
            <w:gridSpan w:val="2"/>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rPr>
              <w:t>部门：新邵县人民检察院</w:t>
            </w:r>
          </w:p>
        </w:tc>
        <w:tc>
          <w:tcPr>
            <w:tcW w:w="962"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105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2363" w:type="dxa"/>
            <w:tcBorders>
              <w:top w:val="nil"/>
              <w:left w:val="nil"/>
              <w:bottom w:val="single" w:color="808080" w:sz="4" w:space="0"/>
              <w:right w:val="nil"/>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rPr>
              <w:t>2021年度</w:t>
            </w:r>
          </w:p>
        </w:tc>
        <w:tc>
          <w:tcPr>
            <w:tcW w:w="83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1127"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20"/>
                <w:szCs w:val="20"/>
              </w:rPr>
            </w:pPr>
          </w:p>
        </w:tc>
        <w:tc>
          <w:tcPr>
            <w:tcW w:w="4756" w:type="dxa"/>
            <w:gridSpan w:val="2"/>
            <w:tcBorders>
              <w:top w:val="nil"/>
              <w:left w:val="nil"/>
              <w:bottom w:val="single" w:color="808080" w:sz="4" w:space="0"/>
              <w:right w:val="single" w:color="80808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53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w:t>
            </w:r>
          </w:p>
        </w:tc>
        <w:tc>
          <w:tcPr>
            <w:tcW w:w="10131" w:type="dxa"/>
            <w:gridSpan w:val="6"/>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312" w:hRule="atLeast"/>
        </w:trPr>
        <w:tc>
          <w:tcPr>
            <w:tcW w:w="112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330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6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105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236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8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112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373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01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0" w:type="dxa"/>
            <w:left w:w="108" w:type="dxa"/>
            <w:bottom w:w="0" w:type="dxa"/>
            <w:right w:w="108" w:type="dxa"/>
          </w:tblCellMar>
        </w:tblPrEx>
        <w:trPr>
          <w:trHeight w:val="312" w:hRule="atLeast"/>
        </w:trPr>
        <w:tc>
          <w:tcPr>
            <w:tcW w:w="112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96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5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6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2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73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1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713.19</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395.28</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204.83</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50.62</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148.58</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0.40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120.90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1.65</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4.22</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57.36</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10.08</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27.01</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30.57</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18.50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8.98</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60.63</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74.87</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12.93</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67.09</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8.57</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10.12</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4.07</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0.76</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74.78</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1.46</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12.53</w:t>
            </w:r>
          </w:p>
        </w:tc>
        <w:tc>
          <w:tcPr>
            <w:tcW w:w="112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3738"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35.23</w:t>
            </w:r>
          </w:p>
        </w:tc>
        <w:tc>
          <w:tcPr>
            <w:tcW w:w="1127"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3738"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0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330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27"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3738"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0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12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3300"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9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2363"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8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50.05</w:t>
            </w:r>
          </w:p>
        </w:tc>
        <w:tc>
          <w:tcPr>
            <w:tcW w:w="1127"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3738"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0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442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9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723.31</w:t>
            </w:r>
          </w:p>
        </w:tc>
        <w:tc>
          <w:tcPr>
            <w:tcW w:w="9113" w:type="dxa"/>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395.28</w:t>
            </w:r>
          </w:p>
        </w:tc>
      </w:tr>
      <w:tr>
        <w:tblPrEx>
          <w:tblCellMar>
            <w:top w:w="0" w:type="dxa"/>
            <w:left w:w="108" w:type="dxa"/>
            <w:bottom w:w="0" w:type="dxa"/>
            <w:right w:w="108" w:type="dxa"/>
          </w:tblCellMar>
        </w:tblPrEx>
        <w:trPr>
          <w:trHeight w:val="300" w:hRule="atLeast"/>
        </w:trPr>
        <w:tc>
          <w:tcPr>
            <w:tcW w:w="15521" w:type="dxa"/>
            <w:gridSpan w:val="9"/>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注：本表反映部门本年度一般公共预算财政拨款基本支出明细情况。</w:t>
            </w:r>
          </w:p>
        </w:tc>
      </w:tr>
    </w:tbl>
    <w:p>
      <w:pPr>
        <w:widowControl/>
        <w:jc w:val="center"/>
        <w:rPr>
          <w:rFonts w:ascii="Times New Roman" w:hAnsi="Times New Roman" w:eastAsia="方正小标宋_GBK" w:cs="Times New Roman"/>
          <w:kern w:val="0"/>
          <w:sz w:val="36"/>
          <w:szCs w:val="36"/>
        </w:rPr>
      </w:pPr>
    </w:p>
    <w:tbl>
      <w:tblPr>
        <w:tblStyle w:val="8"/>
        <w:tblW w:w="15290" w:type="dxa"/>
        <w:tblInd w:w="93" w:type="dxa"/>
        <w:tblLayout w:type="fixed"/>
        <w:tblCellMar>
          <w:top w:w="0" w:type="dxa"/>
          <w:left w:w="108" w:type="dxa"/>
          <w:bottom w:w="0" w:type="dxa"/>
          <w:right w:w="108" w:type="dxa"/>
        </w:tblCellMar>
      </w:tblPr>
      <w:tblGrid>
        <w:gridCol w:w="2636"/>
        <w:gridCol w:w="1215"/>
        <w:gridCol w:w="1037"/>
        <w:gridCol w:w="855"/>
        <w:gridCol w:w="993"/>
        <w:gridCol w:w="1011"/>
        <w:gridCol w:w="666"/>
        <w:gridCol w:w="1095"/>
        <w:gridCol w:w="666"/>
        <w:gridCol w:w="1766"/>
        <w:gridCol w:w="1663"/>
        <w:gridCol w:w="1687"/>
      </w:tblGrid>
      <w:tr>
        <w:tblPrEx>
          <w:tblCellMar>
            <w:top w:w="0" w:type="dxa"/>
            <w:left w:w="108" w:type="dxa"/>
            <w:bottom w:w="0" w:type="dxa"/>
            <w:right w:w="108" w:type="dxa"/>
          </w:tblCellMar>
        </w:tblPrEx>
        <w:trPr>
          <w:trHeight w:val="375" w:hRule="atLeast"/>
        </w:trPr>
        <w:tc>
          <w:tcPr>
            <w:tcW w:w="15290" w:type="dxa"/>
            <w:gridSpan w:val="12"/>
            <w:tcBorders>
              <w:top w:val="nil"/>
              <w:left w:val="nil"/>
              <w:bottom w:val="nil"/>
              <w:right w:val="single" w:color="808080" w:sz="4" w:space="0"/>
            </w:tcBorders>
            <w:shd w:val="clear" w:color="auto" w:fill="auto"/>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一般公共预算财政拨款“三公”经费支出决算表</w:t>
            </w:r>
          </w:p>
        </w:tc>
      </w:tr>
      <w:tr>
        <w:tblPrEx>
          <w:tblCellMar>
            <w:top w:w="0" w:type="dxa"/>
            <w:left w:w="108" w:type="dxa"/>
            <w:bottom w:w="0" w:type="dxa"/>
            <w:right w:w="108" w:type="dxa"/>
          </w:tblCellMar>
        </w:tblPrEx>
        <w:trPr>
          <w:trHeight w:val="300" w:hRule="atLeast"/>
        </w:trPr>
        <w:tc>
          <w:tcPr>
            <w:tcW w:w="2636" w:type="dxa"/>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p>
        </w:tc>
        <w:tc>
          <w:tcPr>
            <w:tcW w:w="121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3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85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993"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11"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66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095"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66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76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663"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687" w:type="dxa"/>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公开07表</w:t>
            </w:r>
          </w:p>
        </w:tc>
      </w:tr>
      <w:tr>
        <w:tblPrEx>
          <w:tblCellMar>
            <w:top w:w="0" w:type="dxa"/>
            <w:left w:w="108" w:type="dxa"/>
            <w:bottom w:w="0" w:type="dxa"/>
            <w:right w:w="108" w:type="dxa"/>
          </w:tblCellMar>
        </w:tblPrEx>
        <w:trPr>
          <w:trHeight w:val="300" w:hRule="atLeast"/>
        </w:trPr>
        <w:tc>
          <w:tcPr>
            <w:tcW w:w="2636" w:type="dxa"/>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部门：新邵县人民检察院</w:t>
            </w:r>
          </w:p>
        </w:tc>
        <w:tc>
          <w:tcPr>
            <w:tcW w:w="121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037"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85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670" w:type="dxa"/>
            <w:gridSpan w:val="3"/>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0"/>
                <w:szCs w:val="20"/>
              </w:rPr>
              <w:t>2021年度</w:t>
            </w:r>
          </w:p>
        </w:tc>
        <w:tc>
          <w:tcPr>
            <w:tcW w:w="1095"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666"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766"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663"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687" w:type="dxa"/>
            <w:tcBorders>
              <w:top w:val="nil"/>
              <w:left w:val="nil"/>
              <w:bottom w:val="single" w:color="808080" w:sz="4" w:space="0"/>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774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预算数</w:t>
            </w:r>
          </w:p>
        </w:tc>
        <w:tc>
          <w:tcPr>
            <w:tcW w:w="7543" w:type="dxa"/>
            <w:gridSpan w:val="6"/>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0" w:type="dxa"/>
            <w:left w:w="108" w:type="dxa"/>
            <w:bottom w:w="0" w:type="dxa"/>
            <w:right w:w="108" w:type="dxa"/>
          </w:tblCellMar>
        </w:tblPrEx>
        <w:trPr>
          <w:trHeight w:val="300" w:hRule="atLeast"/>
        </w:trPr>
        <w:tc>
          <w:tcPr>
            <w:tcW w:w="26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21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2885"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101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c>
          <w:tcPr>
            <w:tcW w:w="6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09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4095"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168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r>
      <w:tr>
        <w:tblPrEx>
          <w:tblCellMar>
            <w:top w:w="0" w:type="dxa"/>
            <w:left w:w="108" w:type="dxa"/>
            <w:bottom w:w="0" w:type="dxa"/>
            <w:right w:w="108" w:type="dxa"/>
          </w:tblCellMar>
        </w:tblPrEx>
        <w:trPr>
          <w:trHeight w:val="600" w:hRule="atLeast"/>
        </w:trPr>
        <w:tc>
          <w:tcPr>
            <w:tcW w:w="26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1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3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8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101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9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7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168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263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03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5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01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7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66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68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300" w:hRule="atLeast"/>
        </w:trPr>
        <w:tc>
          <w:tcPr>
            <w:tcW w:w="263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36.70</w:t>
            </w:r>
          </w:p>
        </w:tc>
        <w:tc>
          <w:tcPr>
            <w:tcW w:w="12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26.70</w:t>
            </w:r>
          </w:p>
        </w:tc>
        <w:tc>
          <w:tcPr>
            <w:tcW w:w="8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26.70</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w:t>
            </w:r>
          </w:p>
        </w:tc>
        <w:tc>
          <w:tcPr>
            <w:tcW w:w="6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16.60</w:t>
            </w:r>
          </w:p>
        </w:tc>
        <w:tc>
          <w:tcPr>
            <w:tcW w:w="10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12.53</w:t>
            </w:r>
          </w:p>
        </w:tc>
        <w:tc>
          <w:tcPr>
            <w:tcW w:w="17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6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12.53</w:t>
            </w:r>
          </w:p>
        </w:tc>
        <w:tc>
          <w:tcPr>
            <w:tcW w:w="168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4.07</w:t>
            </w:r>
          </w:p>
        </w:tc>
      </w:tr>
      <w:tr>
        <w:tblPrEx>
          <w:tblCellMar>
            <w:top w:w="0" w:type="dxa"/>
            <w:left w:w="108" w:type="dxa"/>
            <w:bottom w:w="0" w:type="dxa"/>
            <w:right w:w="108" w:type="dxa"/>
          </w:tblCellMar>
        </w:tblPrEx>
        <w:trPr>
          <w:trHeight w:val="600" w:hRule="atLeast"/>
        </w:trPr>
        <w:tc>
          <w:tcPr>
            <w:tcW w:w="1529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5"/>
    <w:p>
      <w:pPr>
        <w:widowControl/>
        <w:jc w:val="left"/>
        <w:rPr>
          <w:rFonts w:ascii="Times New Roman" w:hAnsi="Times New Roman" w:eastAsia="仿宋_GB2312" w:cs="Times New Roman"/>
          <w:bCs/>
          <w:kern w:val="0"/>
          <w:szCs w:val="21"/>
        </w:rPr>
      </w:pPr>
    </w:p>
    <w:p>
      <w:pPr>
        <w:widowControl/>
        <w:jc w:val="left"/>
        <w:rPr>
          <w:rFonts w:ascii="宋体" w:eastAsia="宋体" w:cs="宋体"/>
          <w:kern w:val="0"/>
          <w:sz w:val="24"/>
          <w:szCs w:val="24"/>
        </w:rPr>
      </w:pPr>
    </w:p>
    <w:tbl>
      <w:tblPr>
        <w:tblStyle w:val="8"/>
        <w:tblW w:w="15318" w:type="dxa"/>
        <w:tblInd w:w="93" w:type="dxa"/>
        <w:tblLayout w:type="fixed"/>
        <w:tblCellMar>
          <w:top w:w="0" w:type="dxa"/>
          <w:left w:w="108" w:type="dxa"/>
          <w:bottom w:w="0" w:type="dxa"/>
          <w:right w:w="108" w:type="dxa"/>
        </w:tblCellMar>
      </w:tblPr>
      <w:tblGrid>
        <w:gridCol w:w="3294"/>
        <w:gridCol w:w="277"/>
        <w:gridCol w:w="240"/>
        <w:gridCol w:w="1653"/>
        <w:gridCol w:w="1904"/>
        <w:gridCol w:w="1857"/>
        <w:gridCol w:w="1237"/>
        <w:gridCol w:w="1237"/>
        <w:gridCol w:w="1237"/>
        <w:gridCol w:w="2382"/>
      </w:tblGrid>
      <w:tr>
        <w:tblPrEx>
          <w:tblCellMar>
            <w:top w:w="0" w:type="dxa"/>
            <w:left w:w="108" w:type="dxa"/>
            <w:bottom w:w="0" w:type="dxa"/>
            <w:right w:w="108" w:type="dxa"/>
          </w:tblCellMar>
        </w:tblPrEx>
        <w:trPr>
          <w:trHeight w:val="375" w:hRule="atLeast"/>
        </w:trPr>
        <w:tc>
          <w:tcPr>
            <w:tcW w:w="15318" w:type="dxa"/>
            <w:gridSpan w:val="10"/>
            <w:tcBorders>
              <w:top w:val="nil"/>
              <w:left w:val="nil"/>
              <w:bottom w:val="nil"/>
              <w:right w:val="single" w:color="808080" w:sz="4" w:space="0"/>
            </w:tcBorders>
            <w:shd w:val="clear" w:color="auto" w:fill="auto"/>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00" w:hRule="atLeast"/>
        </w:trPr>
        <w:tc>
          <w:tcPr>
            <w:tcW w:w="3294"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7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4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653"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904"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85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23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23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23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382" w:type="dxa"/>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公开08表</w:t>
            </w:r>
          </w:p>
        </w:tc>
      </w:tr>
      <w:tr>
        <w:tblPrEx>
          <w:tblCellMar>
            <w:top w:w="0" w:type="dxa"/>
            <w:left w:w="108" w:type="dxa"/>
            <w:bottom w:w="0" w:type="dxa"/>
            <w:right w:w="108" w:type="dxa"/>
          </w:tblCellMar>
        </w:tblPrEx>
        <w:trPr>
          <w:trHeight w:val="300" w:hRule="atLeast"/>
        </w:trPr>
        <w:tc>
          <w:tcPr>
            <w:tcW w:w="3294" w:type="dxa"/>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部门：新邵县人民检察院</w:t>
            </w:r>
          </w:p>
        </w:tc>
        <w:tc>
          <w:tcPr>
            <w:tcW w:w="277"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40"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653"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904"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1857"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237"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237"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237"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382" w:type="dxa"/>
            <w:tcBorders>
              <w:top w:val="nil"/>
              <w:left w:val="nil"/>
              <w:bottom w:val="single" w:color="808080" w:sz="4" w:space="0"/>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546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90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185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w:t>
            </w:r>
          </w:p>
        </w:tc>
        <w:tc>
          <w:tcPr>
            <w:tcW w:w="3711"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c>
          <w:tcPr>
            <w:tcW w:w="2382"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r>
      <w:tr>
        <w:tblPrEx>
          <w:tblCellMar>
            <w:top w:w="0" w:type="dxa"/>
            <w:left w:w="108" w:type="dxa"/>
            <w:bottom w:w="0" w:type="dxa"/>
            <w:right w:w="108" w:type="dxa"/>
          </w:tblCellMar>
        </w:tblPrEx>
        <w:trPr>
          <w:trHeight w:val="312" w:hRule="atLeast"/>
        </w:trPr>
        <w:tc>
          <w:tcPr>
            <w:tcW w:w="381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1653"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90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5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3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23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23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238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381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53"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90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5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3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3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3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8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381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53"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90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85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3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3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3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382"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46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90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8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300" w:hRule="atLeast"/>
        </w:trPr>
        <w:tc>
          <w:tcPr>
            <w:tcW w:w="546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9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185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811"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此表无数据</w:t>
            </w:r>
          </w:p>
        </w:tc>
        <w:tc>
          <w:tcPr>
            <w:tcW w:w="1653"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90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23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23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23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38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5318"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rPr>
              <w:t>。2021年度本单位没有政府性基金收入，也没有使用政府性基金安排的支出，故本表无数据</w:t>
            </w:r>
            <w:r>
              <w:rPr>
                <w:rFonts w:ascii="Times New Roman" w:hAnsi="Times New Roman" w:eastAsia="仿宋_GB2312" w:cs="Times New Roman"/>
                <w:kern w:val="0"/>
                <w:szCs w:val="21"/>
              </w:rPr>
              <w:t>。</w:t>
            </w:r>
          </w:p>
        </w:tc>
      </w:tr>
    </w:tbl>
    <w:tbl>
      <w:tblPr>
        <w:tblStyle w:val="8"/>
        <w:tblpPr w:leftFromText="180" w:rightFromText="180" w:vertAnchor="text" w:horzAnchor="page" w:tblpX="1017" w:tblpY="596"/>
        <w:tblOverlap w:val="never"/>
        <w:tblW w:w="14579" w:type="dxa"/>
        <w:tblInd w:w="0" w:type="dxa"/>
        <w:tblLayout w:type="fixed"/>
        <w:tblCellMar>
          <w:top w:w="0" w:type="dxa"/>
          <w:left w:w="108" w:type="dxa"/>
          <w:bottom w:w="0" w:type="dxa"/>
          <w:right w:w="108" w:type="dxa"/>
        </w:tblCellMar>
      </w:tblPr>
      <w:tblGrid>
        <w:gridCol w:w="2700"/>
        <w:gridCol w:w="1574"/>
        <w:gridCol w:w="323"/>
        <w:gridCol w:w="1744"/>
        <w:gridCol w:w="1857"/>
        <w:gridCol w:w="2746"/>
        <w:gridCol w:w="3635"/>
      </w:tblGrid>
      <w:tr>
        <w:tblPrEx>
          <w:tblCellMar>
            <w:top w:w="0" w:type="dxa"/>
            <w:left w:w="108" w:type="dxa"/>
            <w:bottom w:w="0" w:type="dxa"/>
            <w:right w:w="108" w:type="dxa"/>
          </w:tblCellMar>
        </w:tblPrEx>
        <w:trPr>
          <w:trHeight w:val="375" w:hRule="atLeast"/>
        </w:trPr>
        <w:tc>
          <w:tcPr>
            <w:tcW w:w="14579" w:type="dxa"/>
            <w:gridSpan w:val="7"/>
            <w:tcBorders>
              <w:top w:val="nil"/>
              <w:left w:val="nil"/>
              <w:bottom w:val="nil"/>
              <w:right w:val="single" w:color="808080" w:sz="4" w:space="0"/>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300" w:hRule="atLeast"/>
        </w:trPr>
        <w:tc>
          <w:tcPr>
            <w:tcW w:w="2700"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574"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23"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744"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1857"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2746" w:type="dxa"/>
            <w:tcBorders>
              <w:top w:val="nil"/>
              <w:left w:val="nil"/>
              <w:bottom w:val="nil"/>
              <w:right w:val="nil"/>
            </w:tcBorders>
            <w:shd w:val="clear" w:color="auto" w:fill="auto"/>
            <w:noWrap/>
            <w:vAlign w:val="center"/>
          </w:tcPr>
          <w:p>
            <w:pPr>
              <w:jc w:val="left"/>
              <w:rPr>
                <w:rFonts w:ascii="宋体" w:hAnsi="宋体" w:eastAsia="宋体" w:cs="宋体"/>
                <w:color w:val="000000"/>
                <w:sz w:val="18"/>
                <w:szCs w:val="18"/>
              </w:rPr>
            </w:pPr>
          </w:p>
        </w:tc>
        <w:tc>
          <w:tcPr>
            <w:tcW w:w="3635" w:type="dxa"/>
            <w:tcBorders>
              <w:top w:val="nil"/>
              <w:left w:val="nil"/>
              <w:bottom w:val="nil"/>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公开09表</w:t>
            </w:r>
          </w:p>
        </w:tc>
      </w:tr>
      <w:tr>
        <w:tblPrEx>
          <w:tblCellMar>
            <w:top w:w="0" w:type="dxa"/>
            <w:left w:w="108" w:type="dxa"/>
            <w:bottom w:w="0" w:type="dxa"/>
            <w:right w:w="108" w:type="dxa"/>
          </w:tblCellMar>
        </w:tblPrEx>
        <w:trPr>
          <w:trHeight w:val="300" w:hRule="atLeast"/>
        </w:trPr>
        <w:tc>
          <w:tcPr>
            <w:tcW w:w="2700" w:type="dxa"/>
            <w:tcBorders>
              <w:top w:val="nil"/>
              <w:left w:val="nil"/>
              <w:bottom w:val="single" w:color="808080" w:sz="4" w:space="0"/>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部门：新邵县人民检察院</w:t>
            </w:r>
          </w:p>
        </w:tc>
        <w:tc>
          <w:tcPr>
            <w:tcW w:w="1574"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323"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1744" w:type="dxa"/>
            <w:tcBorders>
              <w:top w:val="nil"/>
              <w:left w:val="nil"/>
              <w:bottom w:val="single" w:color="808080" w:sz="4" w:space="0"/>
              <w:right w:val="nil"/>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1857"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2746" w:type="dxa"/>
            <w:tcBorders>
              <w:top w:val="nil"/>
              <w:left w:val="nil"/>
              <w:bottom w:val="single" w:color="808080" w:sz="4" w:space="0"/>
              <w:right w:val="nil"/>
            </w:tcBorders>
            <w:shd w:val="clear" w:color="auto" w:fill="auto"/>
            <w:noWrap/>
            <w:vAlign w:val="center"/>
          </w:tcPr>
          <w:p>
            <w:pPr>
              <w:jc w:val="left"/>
              <w:rPr>
                <w:rFonts w:ascii="宋体" w:hAnsi="宋体" w:eastAsia="宋体" w:cs="宋体"/>
                <w:color w:val="000000"/>
                <w:sz w:val="18"/>
                <w:szCs w:val="18"/>
              </w:rPr>
            </w:pPr>
          </w:p>
        </w:tc>
        <w:tc>
          <w:tcPr>
            <w:tcW w:w="3635" w:type="dxa"/>
            <w:tcBorders>
              <w:top w:val="nil"/>
              <w:left w:val="nil"/>
              <w:bottom w:val="single" w:color="808080" w:sz="4" w:space="0"/>
              <w:right w:val="single" w:color="80808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634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8238"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12" w:hRule="atLeast"/>
        </w:trPr>
        <w:tc>
          <w:tcPr>
            <w:tcW w:w="459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1744"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85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274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36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12" w:hRule="atLeast"/>
        </w:trPr>
        <w:tc>
          <w:tcPr>
            <w:tcW w:w="45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744"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85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4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45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744"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85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74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4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857"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74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36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00" w:hRule="atLeast"/>
        </w:trPr>
        <w:tc>
          <w:tcPr>
            <w:tcW w:w="6341"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857"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274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363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459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此表无数据</w:t>
            </w:r>
          </w:p>
        </w:tc>
        <w:tc>
          <w:tcPr>
            <w:tcW w:w="1744"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185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74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6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4579" w:type="dxa"/>
            <w:gridSpan w:val="7"/>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rPr>
              <w:t>注：本表反映部门本年度国有资本经营预算财政拨款支出情况。2021年度本部门无国有资本经营预算收支，因此本表无数据。</w:t>
            </w:r>
          </w:p>
        </w:tc>
      </w:tr>
    </w:tbl>
    <w:p>
      <w:pPr>
        <w:widowControl/>
        <w:jc w:val="left"/>
        <w:rPr>
          <w:rFonts w:ascii="宋体" w:eastAsia="宋体" w:cs="宋体"/>
          <w:kern w:val="0"/>
          <w:sz w:val="24"/>
          <w:szCs w:val="24"/>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sz w:val="72"/>
          <w:szCs w:val="72"/>
        </w:rPr>
        <w:sectPr>
          <w:pgSz w:w="16838" w:h="11906" w:orient="landscape"/>
          <w:pgMar w:top="720" w:right="720" w:bottom="720" w:left="720" w:header="851" w:footer="992" w:gutter="0"/>
          <w:cols w:space="425" w:num="1"/>
          <w:docGrid w:type="lines" w:linePitch="312" w:charSpace="0"/>
        </w:sectPr>
      </w:pPr>
    </w:p>
    <w:p>
      <w:pPr>
        <w:pStyle w:val="14"/>
        <w:jc w:val="center"/>
        <w:rPr>
          <w:sz w:val="44"/>
          <w:szCs w:val="44"/>
        </w:rPr>
      </w:pPr>
    </w:p>
    <w:p>
      <w:pPr>
        <w:pStyle w:val="14"/>
        <w:jc w:val="center"/>
        <w:rPr>
          <w:sz w:val="70"/>
          <w:szCs w:val="70"/>
        </w:rPr>
      </w:pPr>
      <w:r>
        <w:rPr>
          <w:rFonts w:hint="eastAsia"/>
          <w:sz w:val="44"/>
          <w:szCs w:val="44"/>
        </w:rPr>
        <w:t xml:space="preserve">第三部分 </w:t>
      </w:r>
      <w:r>
        <w:rPr>
          <w:sz w:val="44"/>
          <w:szCs w:val="44"/>
        </w:rPr>
        <w:t>20</w:t>
      </w:r>
      <w:r>
        <w:rPr>
          <w:rFonts w:hint="eastAsia"/>
          <w:sz w:val="44"/>
          <w:szCs w:val="44"/>
        </w:rPr>
        <w:t>21年度部门决算情况说明</w:t>
      </w:r>
    </w:p>
    <w:p>
      <w:pPr>
        <w:widowControl/>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一、收入支出决算总体情况说明</w:t>
      </w:r>
    </w:p>
    <w:p>
      <w:pPr>
        <w:pStyle w:val="1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2021年度收、支总计1625.92万元。与上年相比，减少231.67万元，减少12.47%，主要是</w:t>
      </w:r>
      <w:r>
        <w:rPr>
          <w:rFonts w:hint="eastAsia" w:ascii="仿宋_GB2312" w:eastAsia="仿宋_GB2312" w:cs="宋体"/>
          <w:sz w:val="32"/>
          <w:szCs w:val="32"/>
        </w:rPr>
        <w:t>为落实中央和省委省政府过“紧”日子的政策要求，压减一般性支出。</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二、收入决算情况说明</w:t>
      </w:r>
    </w:p>
    <w:p>
      <w:pPr>
        <w:pStyle w:val="1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2021年度收入合计1421.64万元，其中：财政拨款收入1283.51万元，占90.28%；其他收入138.13万元，占9.72%。</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三、支出决算情况说明</w:t>
      </w:r>
    </w:p>
    <w:p>
      <w:pPr>
        <w:pStyle w:val="1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2021年度支出合计1502.05万元，其中：基本支出1256.71万元，占83.67%；项目支出245.34万元，占16.33%。</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四、财政拨款收入支出决算总体情况说明</w:t>
      </w:r>
    </w:p>
    <w:p>
      <w:pPr>
        <w:pStyle w:val="1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2021年度财政拨款收、支总计1487.79万元，与上年相比，减少176.40万元,减少10.60%，主要是</w:t>
      </w:r>
      <w:r>
        <w:rPr>
          <w:rFonts w:hint="eastAsia" w:ascii="仿宋_GB2312" w:eastAsia="仿宋_GB2312" w:cs="宋体"/>
          <w:sz w:val="32"/>
          <w:szCs w:val="32"/>
        </w:rPr>
        <w:t>为落实中央和省委省政府过“紧”日子的政策要求，压减一般性支出。</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五、一般公共预算财政拨款支出决算情况说明</w:t>
      </w:r>
    </w:p>
    <w:p>
      <w:pPr>
        <w:pStyle w:val="14"/>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（一）财政拨款支出决算总体情况</w:t>
      </w:r>
    </w:p>
    <w:p>
      <w:pPr>
        <w:pStyle w:val="1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2021年度财政拨款支出1363.92万元，占本年支出合计的90.80%，与上年相比，财政拨款支出减少73.38万元，减少5.11%，主要是因为</w:t>
      </w:r>
      <w:r>
        <w:rPr>
          <w:rFonts w:hint="eastAsia" w:ascii="仿宋_GB2312" w:eastAsia="仿宋_GB2312" w:cs="宋体"/>
          <w:sz w:val="32"/>
          <w:szCs w:val="32"/>
        </w:rPr>
        <w:t>为落实中央和省委省政府过“紧”日子的政策要求，压减一般性支出。</w:t>
      </w:r>
    </w:p>
    <w:p>
      <w:pPr>
        <w:pStyle w:val="14"/>
        <w:ind w:firstLine="480"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（二）财政拨款支出决算结构情况</w:t>
      </w:r>
    </w:p>
    <w:p>
      <w:pPr>
        <w:spacing w:line="560" w:lineRule="exact"/>
        <w:ind w:firstLine="640" w:firstLineChars="200"/>
        <w:rPr>
          <w:rFonts w:ascii="仿宋_GB2312" w:eastAsia="仿宋_GB2312"/>
          <w:color w:val="FF0000"/>
        </w:rPr>
      </w:pPr>
      <w:r>
        <w:rPr>
          <w:rFonts w:hint="eastAsia" w:ascii="仿宋_GB2312" w:eastAsia="仿宋_GB2312" w:cs="宋体"/>
          <w:sz w:val="32"/>
          <w:szCs w:val="32"/>
        </w:rPr>
        <w:t>2021年度财政拨款支出</w:t>
      </w:r>
      <w:r>
        <w:rPr>
          <w:rFonts w:hint="eastAsia" w:ascii="仿宋_GB2312" w:hAnsi="仿宋_GB2312" w:eastAsia="仿宋_GB2312" w:cs="仿宋_GB2312"/>
          <w:sz w:val="32"/>
          <w:szCs w:val="32"/>
        </w:rPr>
        <w:t>1363.92</w:t>
      </w:r>
      <w:r>
        <w:rPr>
          <w:rFonts w:hint="eastAsia" w:ascii="仿宋_GB2312" w:eastAsia="仿宋_GB2312" w:cs="宋体"/>
          <w:sz w:val="32"/>
          <w:szCs w:val="32"/>
        </w:rPr>
        <w:t>万元，主要用于以下方面：公共安全支出1193.85万元，占比87.53%；教育支出5.00万元，占比0.37%；社会保障和就业支出62.20万元，占比4.56%；卫生健康支出28.00万元，占比2.05%；住房保障支出74.87万元，占比5.49%。</w:t>
      </w:r>
    </w:p>
    <w:p>
      <w:pPr>
        <w:pStyle w:val="14"/>
        <w:ind w:firstLine="800" w:firstLineChars="250"/>
        <w:rPr>
          <w:rFonts w:ascii="仿宋_GB2312" w:hAnsi="仿宋_GB2312" w:eastAsia="仿宋_GB2312" w:cs="仿宋_GB2312"/>
          <w:b/>
          <w:sz w:val="32"/>
          <w:szCs w:val="32"/>
        </w:rPr>
      </w:pPr>
      <w:r>
        <w:rPr>
          <w:rFonts w:hint="eastAsia" w:ascii="仿宋_GB2312" w:hAnsi="仿宋_GB2312" w:eastAsia="仿宋_GB2312" w:cs="仿宋_GB2312"/>
          <w:b/>
          <w:sz w:val="32"/>
          <w:szCs w:val="32"/>
        </w:rPr>
        <w:t>（三）财政拨款支出决算具体情况</w:t>
      </w:r>
    </w:p>
    <w:p>
      <w:pPr>
        <w:pStyle w:val="14"/>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2021年度财政拨款支出年初预算数为1380.71万元，支出决算数为1363.92万元，完成年初预算的98.78%，其中：</w:t>
      </w:r>
    </w:p>
    <w:p>
      <w:pPr>
        <w:pStyle w:val="6"/>
        <w:spacing w:before="0" w:beforeAutospacing="0" w:after="0" w:afterAutospacing="0" w:line="560" w:lineRule="exact"/>
        <w:ind w:firstLine="640" w:firstLineChars="200"/>
        <w:rPr>
          <w:rFonts w:ascii="仿宋_GB2312" w:eastAsia="仿宋_GB2312" w:cs="宋体"/>
          <w:color w:val="FF0000"/>
          <w:sz w:val="32"/>
          <w:szCs w:val="32"/>
        </w:rPr>
      </w:pPr>
      <w:r>
        <w:rPr>
          <w:rFonts w:hint="eastAsia" w:ascii="仿宋_GB2312" w:eastAsia="仿宋_GB2312" w:cs="宋体"/>
          <w:sz w:val="32"/>
          <w:szCs w:val="32"/>
        </w:rPr>
        <w:t>1、公共安全-检察-行政运行支出年初预算945.91万元，决算数948.51万元，完成年初预算的100.27%。决算数大于年初预算数的主要原因是：年中追加及指标调剂下达至此科目。</w:t>
      </w:r>
    </w:p>
    <w:p>
      <w:pPr>
        <w:pStyle w:val="6"/>
        <w:spacing w:before="0" w:beforeAutospacing="0" w:after="0" w:afterAutospacing="0" w:line="560" w:lineRule="exact"/>
        <w:ind w:firstLine="640" w:firstLineChars="200"/>
        <w:rPr>
          <w:rFonts w:ascii="仿宋_GB2312" w:eastAsia="仿宋_GB2312" w:cs="宋体"/>
          <w:sz w:val="32"/>
          <w:szCs w:val="32"/>
          <w:highlight w:val="lightGray"/>
        </w:rPr>
      </w:pPr>
      <w:r>
        <w:rPr>
          <w:rFonts w:hint="eastAsia" w:ascii="仿宋_GB2312" w:eastAsia="仿宋_GB2312" w:cs="宋体"/>
          <w:sz w:val="32"/>
          <w:szCs w:val="32"/>
        </w:rPr>
        <w:t>2、公共安全-检察-一般行政管理事务支出年初预算262.60万元，决算数245.34万元，完成年初预算的93.43%。决算数小于年初预算数的主要原因是：部分项目经费根据合同进度结转到下一年度付款。</w:t>
      </w:r>
    </w:p>
    <w:p>
      <w:pPr>
        <w:pStyle w:val="6"/>
        <w:spacing w:before="0" w:beforeAutospacing="0" w:after="0" w:afterAutospacing="0" w:line="560" w:lineRule="exact"/>
        <w:ind w:firstLine="640" w:firstLineChars="200"/>
        <w:rPr>
          <w:rFonts w:ascii="仿宋_GB2312" w:eastAsia="仿宋_GB2312" w:cs="宋体"/>
          <w:color w:val="FF0000"/>
          <w:sz w:val="32"/>
          <w:szCs w:val="32"/>
        </w:rPr>
      </w:pPr>
      <w:r>
        <w:rPr>
          <w:rFonts w:hint="eastAsia" w:ascii="仿宋_GB2312" w:eastAsia="仿宋_GB2312" w:cs="宋体"/>
          <w:sz w:val="32"/>
          <w:szCs w:val="32"/>
        </w:rPr>
        <w:t>3、教育支出-进修及培训-培训支出年初预算5.00万元，决算数5.00万元，完成年初预算的100%。</w:t>
      </w:r>
    </w:p>
    <w:p>
      <w:pPr>
        <w:pStyle w:val="6"/>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4、社会保障和就业支出-行政事业单位养老支出-机关事业单位基本养老保险缴费支出年初预算53.00万元，决算数53.00万元，完成年初预算的100%。</w:t>
      </w:r>
    </w:p>
    <w:p>
      <w:pPr>
        <w:pStyle w:val="6"/>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5、社会保障和就业支出-其他社会保障和就业支出-其他社会保障和就业支出年初预算9.20万元，决算数9.20万元，完成年初预算的100%。</w:t>
      </w:r>
    </w:p>
    <w:p>
      <w:pPr>
        <w:pStyle w:val="6"/>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6、卫生健康支出-行政事业单位医疗-行政单位医疗支出年初预算28.00万元，决算数28.00万元，完成年初预算的100%。</w:t>
      </w:r>
    </w:p>
    <w:p>
      <w:pPr>
        <w:pStyle w:val="6"/>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eastAsia="仿宋_GB2312" w:cs="宋体"/>
          <w:sz w:val="32"/>
          <w:szCs w:val="32"/>
        </w:rPr>
        <w:t>7、住房保障支出-住房改革支出-住房公积金支出年初预算77.00万元，决算数74.87万元，完成年初预算的97.23%。决算数小于预算数的主要原因是正常人员增减导致。</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六、一般公共预算财政拨款基本支出决算情况说明</w:t>
      </w:r>
    </w:p>
    <w:p>
      <w:pPr>
        <w:pStyle w:val="6"/>
        <w:spacing w:before="0" w:beforeAutospacing="0" w:after="0" w:afterAutospacing="0" w:line="560" w:lineRule="exact"/>
        <w:ind w:firstLine="640" w:firstLineChars="200"/>
        <w:rPr>
          <w:rFonts w:ascii="仿宋_GB2312" w:hAnsi="仿宋_GB2312" w:eastAsia="仿宋_GB2312" w:cs="仿宋_GB2312"/>
          <w:i/>
          <w:color w:val="FF0000"/>
          <w:sz w:val="32"/>
          <w:szCs w:val="32"/>
        </w:rPr>
      </w:pPr>
      <w:r>
        <w:rPr>
          <w:rFonts w:hint="eastAsia" w:ascii="仿宋_GB2312" w:hAnsi="仿宋_GB2312" w:eastAsia="仿宋_GB2312" w:cs="仿宋_GB2312"/>
          <w:sz w:val="32"/>
          <w:szCs w:val="32"/>
        </w:rPr>
        <w:t>2021年度财政拨款基本支出1118.58万元，其中：人员经费723.31万元，占基本支出的64.66%,</w:t>
      </w:r>
      <w:r>
        <w:rPr>
          <w:rFonts w:hint="eastAsia" w:ascii="仿宋_GB2312" w:eastAsia="仿宋_GB2312" w:cs="宋体"/>
          <w:sz w:val="32"/>
          <w:szCs w:val="32"/>
        </w:rPr>
        <w:t>主要包括</w:t>
      </w:r>
      <w:r>
        <w:rPr>
          <w:rFonts w:hint="eastAsia" w:ascii="仿宋_GB2312" w:eastAsia="仿宋_GB2312"/>
          <w:sz w:val="32"/>
        </w:rPr>
        <w:t>基本工资、津贴补贴、奖金、机关事业单位基本养老保险缴费、职工基本医疗保险缴费、其他社会保障缴费、住房公积金、医疗费、其他工资福利支出、生活补助、其他对个人和家庭的补助</w:t>
      </w:r>
      <w:r>
        <w:rPr>
          <w:rFonts w:hint="eastAsia" w:ascii="仿宋_GB2312" w:eastAsia="仿宋_GB2312" w:cs="宋体"/>
          <w:sz w:val="32"/>
          <w:szCs w:val="32"/>
        </w:rPr>
        <w:t>；</w:t>
      </w:r>
      <w:r>
        <w:rPr>
          <w:rFonts w:hint="eastAsia" w:ascii="仿宋_GB2312" w:hAnsi="仿宋_GB2312" w:eastAsia="仿宋_GB2312" w:cs="仿宋_GB2312"/>
          <w:sz w:val="32"/>
          <w:szCs w:val="32"/>
        </w:rPr>
        <w:t>公用经费395.28万元，占基本支出的35.34%，</w:t>
      </w:r>
      <w:r>
        <w:rPr>
          <w:rFonts w:hint="eastAsia" w:ascii="仿宋_GB2312" w:eastAsia="仿宋_GB2312" w:cs="宋体"/>
          <w:sz w:val="32"/>
          <w:szCs w:val="32"/>
        </w:rPr>
        <w:t>主要包括</w:t>
      </w:r>
      <w:r>
        <w:rPr>
          <w:rFonts w:hint="eastAsia" w:ascii="仿宋_GB2312" w:eastAsia="仿宋_GB2312"/>
          <w:sz w:val="32"/>
        </w:rPr>
        <w:t>办公费、印刷费、水费、电费、邮电费、物业管理费、差旅费、维修（护）费、租赁费、培训费、公务接待费、劳务费、工会经费、公务用车运行维护费、其他交通费用、其他商品和服务支出。</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七、一般公共预算财政拨款“三公”经费支出决算情况说明</w:t>
      </w:r>
    </w:p>
    <w:p>
      <w:pPr>
        <w:pStyle w:val="14"/>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pStyle w:val="14"/>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2021年度“三公”经费财政拨款支出预算为36.70万元，支出决算为16.60万元，完成预算的45.23%，其中：</w:t>
      </w:r>
    </w:p>
    <w:p>
      <w:pPr>
        <w:pStyle w:val="14"/>
        <w:ind w:firstLine="800" w:firstLineChars="250"/>
        <w:rPr>
          <w:rFonts w:ascii="仿宋_GB2312" w:eastAsia="仿宋_GB2312"/>
          <w:sz w:val="32"/>
        </w:rPr>
      </w:pPr>
      <w:r>
        <w:rPr>
          <w:rFonts w:hint="eastAsia" w:ascii="仿宋_GB2312" w:eastAsia="仿宋_GB2312"/>
          <w:sz w:val="32"/>
        </w:rPr>
        <w:t>因公出国（境）费支出预算为0万元，支出决算为0万元，决算数等于预算数，与上年相比无差异。本年度及上年度均未开展因公出国项目。</w:t>
      </w:r>
    </w:p>
    <w:p>
      <w:pPr>
        <w:pStyle w:val="14"/>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公务接待费支出预算为10.00万元，支出决算为4.07万元，完成预算的40.70%，</w:t>
      </w:r>
      <w:r>
        <w:rPr>
          <w:rFonts w:hint="eastAsia" w:ascii="仿宋_GB2312" w:eastAsia="仿宋_GB2312"/>
          <w:sz w:val="32"/>
        </w:rPr>
        <w:t>决算数小于年初预算数的主要原因是进一步从严控制公务接待经费开支，</w:t>
      </w:r>
      <w:r>
        <w:rPr>
          <w:rFonts w:hint="eastAsia" w:ascii="仿宋_GB2312" w:hAnsi="仿宋_GB2312" w:eastAsia="仿宋_GB2312" w:cs="仿宋_GB2312"/>
          <w:sz w:val="32"/>
          <w:szCs w:val="32"/>
        </w:rPr>
        <w:t>与上年相比减少4.94万元，减少54.83%,减少的主要原因是</w:t>
      </w:r>
      <w:r>
        <w:rPr>
          <w:rFonts w:hint="eastAsia" w:ascii="仿宋_GB2312" w:eastAsia="仿宋_GB2312"/>
          <w:sz w:val="32"/>
        </w:rPr>
        <w:t>进一步从严控制公务接待经费开支</w:t>
      </w:r>
      <w:r>
        <w:rPr>
          <w:rFonts w:hint="eastAsia" w:ascii="仿宋_GB2312" w:hAnsi="仿宋_GB2312" w:eastAsia="仿宋_GB2312" w:cs="仿宋_GB2312"/>
          <w:sz w:val="32"/>
          <w:szCs w:val="32"/>
        </w:rPr>
        <w:t>。</w:t>
      </w:r>
    </w:p>
    <w:p>
      <w:pPr>
        <w:pStyle w:val="14"/>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公务用车购置费支出预算为0万元，支出决算为0万元，决算数等于预算数，</w:t>
      </w:r>
      <w:r>
        <w:rPr>
          <w:rFonts w:hint="eastAsia" w:ascii="仿宋_GB2312" w:eastAsia="仿宋_GB2312"/>
          <w:sz w:val="32"/>
        </w:rPr>
        <w:t>与上年相比无差异。本年度及上年度均未购置公务用车。</w:t>
      </w:r>
    </w:p>
    <w:p>
      <w:pPr>
        <w:pStyle w:val="1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公务用车运行维护费支出预算为26.70万元，支出决算为12.53万元，完成预算的46.93%，</w:t>
      </w:r>
      <w:r>
        <w:rPr>
          <w:rFonts w:hint="eastAsia" w:ascii="仿宋_GB2312" w:eastAsia="仿宋_GB2312"/>
          <w:sz w:val="32"/>
        </w:rPr>
        <w:t>决算数小于年初预算数的主要原因是进一步从严控制运行维护费开支</w:t>
      </w:r>
      <w:r>
        <w:rPr>
          <w:rFonts w:hint="eastAsia" w:ascii="仿宋_GB2312" w:hAnsi="仿宋_GB2312" w:eastAsia="仿宋_GB2312" w:cs="仿宋_GB2312"/>
          <w:sz w:val="32"/>
          <w:szCs w:val="32"/>
        </w:rPr>
        <w:t>，与上年相比增加2.25万元，增长21.89%,增长的主要原因是车辆使用年限较长，维修成本较高。</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（二）“三公”经费财政拨款支出决算具体情况说明</w:t>
      </w:r>
    </w:p>
    <w:p>
      <w:pPr>
        <w:pStyle w:val="1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2021年度“三公”经费财政拨款支出决算中，公务接待费支出决算4.07万元，占24.52%,因公出国（境）费支出决算0万元,占0%，公务用车购置费及运行维护费支出决算12.53元，占75.48%。其中：</w:t>
      </w:r>
    </w:p>
    <w:p>
      <w:pPr>
        <w:pStyle w:val="1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rPr>
        <w:t>因公出国（境）费支出决算为0万元，本年度未开展因公出国项目。</w:t>
      </w:r>
    </w:p>
    <w:p>
      <w:pPr>
        <w:pStyle w:val="6"/>
        <w:spacing w:before="0" w:beforeAutospacing="0" w:after="0" w:afterAutospacing="0" w:line="560" w:lineRule="exact"/>
        <w:ind w:firstLine="640"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2、公务接待费支出决算为4.07万元，全年共接待来访团组68个、来宾340人次，主要是接待湖南省各地检察机关和湖南省相关部门交流工作和协办案件等发生的接待支出。</w:t>
      </w:r>
    </w:p>
    <w:p>
      <w:pPr>
        <w:ind w:firstLine="800" w:firstLineChars="25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3、公务用车购置费及运行维护费支出决算为12.53万元，其中：公务用车购置费0万元</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公务用车运行维护费12.53万元，</w:t>
      </w:r>
      <w:r>
        <w:rPr>
          <w:rFonts w:hint="eastAsia" w:ascii="仿宋_GB2312" w:eastAsia="仿宋_GB2312"/>
          <w:sz w:val="32"/>
        </w:rPr>
        <w:t>主要是用于机要通信、执法执勤和侦查办案等所需公务车辆的燃料费、维修费、过路过桥费、年审费和保险费等支出，截止2021年12月31日，新邵县人民检察院开支财政拨款的公务用车保有量为5辆。</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八、政府性基金预算收入支出决算情况</w:t>
      </w:r>
    </w:p>
    <w:p>
      <w:pPr>
        <w:pStyle w:val="1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w:t>
      </w:r>
      <w:r>
        <w:rPr>
          <w:rFonts w:eastAsia="仿宋_GB2312"/>
          <w:sz w:val="32"/>
        </w:rPr>
        <w:t>本单位无政府性基金收支</w:t>
      </w:r>
      <w:r>
        <w:rPr>
          <w:rFonts w:hint="eastAsia" w:eastAsia="仿宋_GB2312"/>
          <w:sz w:val="32"/>
        </w:rPr>
        <w:t>。</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九、机关运行经费支出说明</w:t>
      </w:r>
    </w:p>
    <w:p>
      <w:pPr>
        <w:pStyle w:val="6"/>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本部门2021年度机关运行经费支出395.28万元，比上年决算数减少25.26 万元，降低6.01%。主要原因是：</w:t>
      </w:r>
      <w:r>
        <w:rPr>
          <w:rFonts w:hint="eastAsia" w:ascii="仿宋_GB2312" w:eastAsia="仿宋_GB2312" w:cs="宋体"/>
          <w:sz w:val="32"/>
          <w:szCs w:val="32"/>
        </w:rPr>
        <w:t>为落实中央和省委省政府过“紧”日子的政策要求，压减一般性支出</w:t>
      </w:r>
      <w:r>
        <w:rPr>
          <w:rFonts w:hint="eastAsia" w:ascii="仿宋_GB2312" w:eastAsia="仿宋_GB2312"/>
          <w:sz w:val="32"/>
        </w:rPr>
        <w:t>。</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十、一般性支出情况说明</w:t>
      </w:r>
    </w:p>
    <w:p>
      <w:pPr>
        <w:pStyle w:val="6"/>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2021年本部门开支会议费0万元；开支培训费5.00万元，用于参加上级院开展的干警素能及业务培训，人数45人，内容为网络安全培训、法警培训、检察业务培训；没有举办节庆、晚会、论坛、赛事活动。</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十一、政府采购支出说明</w:t>
      </w:r>
    </w:p>
    <w:p>
      <w:pPr>
        <w:pStyle w:val="14"/>
        <w:ind w:firstLine="640" w:firstLineChars="200"/>
        <w:rPr>
          <w:rFonts w:ascii="仿宋_GB2312" w:eastAsia="仿宋_GB2312"/>
          <w:sz w:val="32"/>
        </w:rPr>
      </w:pPr>
      <w:r>
        <w:rPr>
          <w:rFonts w:hint="eastAsia" w:ascii="仿宋_GB2312" w:hAnsi="仿宋_GB2312" w:eastAsia="仿宋_GB2312" w:cs="仿宋_GB2312"/>
          <w:sz w:val="32"/>
          <w:szCs w:val="32"/>
        </w:rPr>
        <w:t>本部门2021年度政府采购支出总额334.58万元，其中：政府采购货物支出187.86万元、政府采购工程支出39.69万元、政府采购服务支出107.03万元。</w:t>
      </w:r>
      <w:r>
        <w:rPr>
          <w:rFonts w:hint="eastAsia" w:ascii="仿宋_GB2312" w:eastAsia="仿宋_GB2312"/>
          <w:sz w:val="32"/>
        </w:rPr>
        <w:t>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4"/>
        <w:ind w:firstLine="640" w:firstLineChars="200"/>
        <w:rPr>
          <w:rFonts w:ascii="仿宋_GB2312" w:eastAsia="仿宋_GB2312"/>
          <w:sz w:val="32"/>
        </w:rPr>
      </w:pPr>
      <w:r>
        <w:rPr>
          <w:rFonts w:hint="eastAsia" w:ascii="仿宋_GB2312" w:eastAsia="仿宋_GB2312"/>
          <w:sz w:val="32"/>
        </w:rPr>
        <w:t>（政府采购金额的计算口径为：本部门纳入2021年度部门预算范围的各项政府采购支出金额之和，不包括涉密采购项目的支出金额）</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十二、国有资产占用情况说明</w:t>
      </w:r>
    </w:p>
    <w:p>
      <w:pPr>
        <w:pStyle w:val="14"/>
        <w:ind w:firstLine="640" w:firstLineChars="200"/>
        <w:rPr>
          <w:rFonts w:ascii="仿宋_GB2312" w:hAnsi="仿宋_GB2312" w:eastAsia="仿宋_GB2312" w:cs="仿宋_GB2312"/>
          <w:sz w:val="32"/>
          <w:szCs w:val="32"/>
        </w:rPr>
      </w:pPr>
      <w:r>
        <w:rPr>
          <w:rFonts w:hint="eastAsia" w:ascii="仿宋_GB2312" w:eastAsia="仿宋_GB2312"/>
          <w:sz w:val="32"/>
        </w:rPr>
        <w:t>截至2021年12月31日，本单位共有车辆5辆，其中，主要领导干部用车0辆，机要通信用车0辆、应急保障用车0辆、执法执勤用车4辆、特种专业技术用车1辆、其他用车0辆，其他用车主要是一般公务用车和离退休干部用车</w:t>
      </w:r>
      <w:r>
        <w:rPr>
          <w:rFonts w:hint="eastAsia" w:ascii="仿宋_GB2312" w:hAnsi="仿宋_GB2312" w:eastAsia="仿宋_GB2312" w:cs="仿宋_GB2312"/>
          <w:sz w:val="32"/>
          <w:szCs w:val="32"/>
        </w:rPr>
        <w:t>；</w:t>
      </w:r>
      <w:r>
        <w:rPr>
          <w:rFonts w:hint="eastAsia" w:ascii="仿宋_GB2312" w:eastAsia="仿宋_GB2312"/>
          <w:sz w:val="32"/>
        </w:rPr>
        <w:t>单位价值50万元以上通用设备0台（套）；单位价值100万元以上专用设备0台（套）。</w:t>
      </w:r>
    </w:p>
    <w:p>
      <w:pPr>
        <w:pStyle w:val="14"/>
        <w:rPr>
          <w:rFonts w:ascii="仿宋_GB2312" w:hAnsi="仿宋_GB2312" w:eastAsia="仿宋_GB2312" w:cs="仿宋_GB2312"/>
          <w:b/>
          <w:sz w:val="32"/>
          <w:szCs w:val="32"/>
        </w:rPr>
      </w:pPr>
      <w:r>
        <w:rPr>
          <w:rFonts w:hint="eastAsia" w:ascii="仿宋_GB2312" w:hAnsi="仿宋_GB2312" w:eastAsia="仿宋_GB2312" w:cs="仿宋_GB2312"/>
          <w:b/>
          <w:sz w:val="32"/>
          <w:szCs w:val="32"/>
        </w:rPr>
        <w:t>十三、2021年度预算绩效情况说明</w:t>
      </w:r>
    </w:p>
    <w:p>
      <w:pPr>
        <w:spacing w:line="550" w:lineRule="exact"/>
        <w:ind w:firstLine="640" w:firstLineChars="200"/>
        <w:rPr>
          <w:rFonts w:ascii="仿宋_GB2312" w:hAnsi="仿宋_GB2312" w:eastAsia="仿宋_GB2312" w:cs="仿宋_GB2312"/>
          <w:b/>
          <w:bCs/>
          <w:color w:val="000000"/>
          <w:sz w:val="32"/>
          <w:szCs w:val="40"/>
        </w:rPr>
      </w:pPr>
      <w:r>
        <w:rPr>
          <w:rFonts w:hint="eastAsia" w:ascii="仿宋_GB2312" w:hAnsi="仿宋_GB2312" w:eastAsia="仿宋_GB2312" w:cs="仿宋_GB2312"/>
          <w:color w:val="000000"/>
          <w:sz w:val="32"/>
          <w:szCs w:val="40"/>
        </w:rPr>
        <w:t>1.扎实做好联点村工作，在派出2名专职工作队员常驻脱贫攻坚和乡村振兴联点村工作的同时，还采取干警结对帮扶走访800余人次、拨付专项资金10万元、赠送防疫物资近3万元、开展民情恳谈会、赠送普法宣传读本等措施，全面做好联点村工作。切实开展“星期五大扫除”活动，将本院划分为4大区域，每周五开展全院大扫除；联点的王家坪村，制定排班表，每周五下午组成工作小分队深入社区开展大扫除、卫生和防疫宣传等工作。常态化开展“星期一夜校”学习，每个月坚持至少2次以上集中学习，通过提前在工作群公布学习内容、邀请县委党校老师来院辅导、分组学习研讨等多种形式，积极转化学习成果。</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40"/>
        </w:rPr>
        <w:t>2.</w:t>
      </w:r>
      <w:r>
        <w:rPr>
          <w:rFonts w:hint="eastAsia" w:ascii="仿宋_GB2312" w:hAnsi="仿宋_GB2312" w:eastAsia="仿宋_GB2312" w:cs="仿宋_GB2312"/>
          <w:color w:val="000000"/>
          <w:sz w:val="32"/>
          <w:szCs w:val="40"/>
        </w:rPr>
        <w:t>批捕经济类犯罪案件160件197人，起诉188件244人，对1名涉案企业的法人代表依法不捕不诉。</w:t>
      </w:r>
      <w:r>
        <w:rPr>
          <w:rFonts w:hint="eastAsia" w:ascii="仿宋_GB2312" w:hAnsi="仿宋_GB2312" w:eastAsia="仿宋_GB2312" w:cs="仿宋_GB2312"/>
          <w:sz w:val="32"/>
          <w:szCs w:val="32"/>
        </w:rPr>
        <w:t>与雀塘产业园建立联点帮扶关系，每个班子成员对接园区内一个规模企业，为产业园及企业在工程项目、合同纠纷等方面提供法律帮助。</w:t>
      </w:r>
    </w:p>
    <w:p>
      <w:pPr>
        <w:spacing w:line="55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color w:val="000000"/>
          <w:sz w:val="32"/>
          <w:szCs w:val="40"/>
        </w:rPr>
        <w:t>3.共办理刑事案件1359件1756人，是202</w:t>
      </w:r>
      <w:r>
        <w:rPr>
          <w:rFonts w:hint="eastAsia" w:ascii="仿宋_GB2312" w:hAnsi="仿宋_GB2312" w:eastAsia="仿宋_GB2312" w:cs="仿宋_GB2312"/>
          <w:color w:val="000000"/>
          <w:sz w:val="32"/>
          <w:szCs w:val="40"/>
          <w:lang w:val="en-US" w:eastAsia="zh-CN"/>
        </w:rPr>
        <w:t>0</w:t>
      </w:r>
      <w:r>
        <w:rPr>
          <w:rFonts w:hint="eastAsia" w:ascii="仿宋_GB2312" w:hAnsi="仿宋_GB2312" w:eastAsia="仿宋_GB2312" w:cs="仿宋_GB2312"/>
          <w:color w:val="000000"/>
          <w:sz w:val="32"/>
          <w:szCs w:val="40"/>
        </w:rPr>
        <w:t>年的2倍</w:t>
      </w:r>
      <w:r>
        <w:rPr>
          <w:rFonts w:hint="eastAsia" w:ascii="仿宋_GB2312" w:hAnsi="仿宋_GB2312" w:eastAsia="仿宋_GB2312" w:cs="仿宋_GB2312"/>
          <w:sz w:val="32"/>
          <w:szCs w:val="32"/>
        </w:rPr>
        <w:t>多</w:t>
      </w:r>
      <w:r>
        <w:rPr>
          <w:rFonts w:hint="eastAsia" w:ascii="仿宋_GB2312" w:hAnsi="仿宋_GB2312" w:eastAsia="仿宋_GB2312" w:cs="仿宋_GB2312"/>
          <w:color w:val="000000"/>
          <w:sz w:val="32"/>
          <w:szCs w:val="40"/>
        </w:rPr>
        <w:t>，起诉毒品犯罪案件103件138人、危害公共安全犯</w:t>
      </w:r>
      <w:bookmarkStart w:id="6" w:name="_GoBack"/>
      <w:bookmarkEnd w:id="6"/>
      <w:r>
        <w:rPr>
          <w:rFonts w:hint="eastAsia" w:ascii="仿宋_GB2312" w:hAnsi="仿宋_GB2312" w:eastAsia="仿宋_GB2312" w:cs="仿宋_GB2312"/>
          <w:color w:val="000000"/>
          <w:sz w:val="32"/>
          <w:szCs w:val="40"/>
        </w:rPr>
        <w:t>罪案件66件69人、电信网络诈骗以及利用网络赌博或泄露个人信息犯罪案件203件134人。逮捕职务犯罪案件1件1人，起诉5件5人。我院刑检工作</w:t>
      </w:r>
      <w:r>
        <w:rPr>
          <w:rFonts w:hint="eastAsia" w:ascii="仿宋_GB2312" w:hAnsi="仿宋_GB2312" w:eastAsia="仿宋_GB2312" w:cs="仿宋_GB2312"/>
          <w:sz w:val="32"/>
          <w:szCs w:val="32"/>
        </w:rPr>
        <w:t>主要指标优秀率66%、确定刑量刑建议采纳率99.81%，排名全市第一。</w:t>
      </w:r>
    </w:p>
    <w:p>
      <w:pPr>
        <w:spacing w:line="55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color w:val="000000"/>
          <w:sz w:val="32"/>
          <w:szCs w:val="40"/>
        </w:rPr>
        <w:t>4.监督立案16件，监督撤案4件，追捕漏犯7人，追诉漏犯7人，追诉漏罪15人，发出纠正违法通知书31份，纠正监管场所违法情形3件。扎实开展剥夺政治权利专项检察，对全县17件脱管、15件漏管案件发出纠正违法通知书。办理民事监督案件35件，发出检察建议15件，发出再审检察建议2件，提请抗诉2件。办理行政非诉执行监督案件17件，发出检察建议20份。</w:t>
      </w:r>
    </w:p>
    <w:p>
      <w:pPr>
        <w:spacing w:line="55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办理公益诉讼案件92件，发出检察建议68件。建立“河（湖、林）长+检察长”协作机制，办理非法捕捞、污染水体案件6件8人，起诉3件5人，放生鱼苗7.8万尾。向全县15个乡镇及民政等职能部门发出督促整改养老机构食品安全问题的检察建议，向酿溪镇政府发出排除废弃烟囱、水塔公共安全隐患的检察建议，获得省市检察院的高度肯定。</w:t>
      </w:r>
    </w:p>
    <w:p>
      <w:pPr>
        <w:spacing w:line="550" w:lineRule="exact"/>
        <w:ind w:firstLine="643"/>
        <w:rPr>
          <w:rFonts w:ascii="仿宋_GB2312" w:hAnsi="仿宋_GB2312" w:eastAsia="仿宋_GB2312" w:cs="仿宋_GB2312"/>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sz w:val="32"/>
          <w:szCs w:val="32"/>
        </w:rPr>
        <w:t>设立未检工作办案区，推进未成年人案件一体化办理，对涉罪未成年人作出附条件不起诉决定5件7人，开展帮教考察12人次，开展法治进校园活动6次。向县树人中学、严塘中学发出加强校园综合管理的检察建议，向县卫生健康局发出落实强制报告及加强物证保管的检察建议。2021年，市检察院将未成年人刑事检察工作作为我院“一院一品”项目进行立项。</w:t>
      </w:r>
    </w:p>
    <w:p>
      <w:pPr>
        <w:spacing w:line="55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7.接待群众来访116人次，受理群众来信16件。办理刑事司法救助案件9件，发放司法救助金35万元。深入推进认罪认罚从宽制度，适用该制度审结案件534件632人。制作通俗易懂、群众喜闻乐见的动漫宣传册2万份，采取结对走访、集中回访、实地抽查等方式，对两个联点村和责任门店进行全覆盖式走访。</w:t>
      </w:r>
    </w:p>
    <w:p>
      <w:pPr>
        <w:pStyle w:val="14"/>
        <w:jc w:val="center"/>
        <w:rPr>
          <w:sz w:val="72"/>
          <w:szCs w:val="72"/>
        </w:rPr>
      </w:pPr>
    </w:p>
    <w:p>
      <w:pPr>
        <w:pStyle w:val="14"/>
        <w:jc w:val="center"/>
        <w:rPr>
          <w:sz w:val="44"/>
          <w:szCs w:val="44"/>
        </w:rPr>
      </w:pPr>
    </w:p>
    <w:p>
      <w:pPr>
        <w:pStyle w:val="14"/>
        <w:jc w:val="center"/>
        <w:rPr>
          <w:sz w:val="44"/>
          <w:szCs w:val="44"/>
        </w:rPr>
      </w:pPr>
      <w:r>
        <w:rPr>
          <w:rFonts w:hint="eastAsia"/>
          <w:sz w:val="44"/>
          <w:szCs w:val="44"/>
        </w:rPr>
        <w:t>第四部分名词解释</w:t>
      </w:r>
    </w:p>
    <w:p>
      <w:pPr>
        <w:widowControl/>
        <w:ind w:firstLine="640" w:firstLineChars="200"/>
        <w:jc w:val="left"/>
      </w:pPr>
      <w:r>
        <w:rPr>
          <w:rStyle w:val="11"/>
          <w:rFonts w:hint="eastAsia" w:ascii="楷体_GB2312" w:hAnsi="楷体" w:eastAsia="楷体_GB2312" w:cs="楷体"/>
          <w:b w:val="0"/>
          <w:sz w:val="32"/>
          <w:szCs w:val="32"/>
          <w:shd w:val="clear" w:color="auto" w:fill="FFFFFF"/>
        </w:rPr>
        <w:t>一、财政拨款收入</w:t>
      </w:r>
      <w:r>
        <w:rPr>
          <w:rStyle w:val="11"/>
          <w:rFonts w:ascii="楷体_GB2312" w:hAnsi="楷体" w:eastAsia="楷体_GB2312" w:cs="楷体"/>
          <w:shd w:val="clear" w:color="auto" w:fill="FFFFFF"/>
        </w:rPr>
        <w:t>：</w:t>
      </w:r>
      <w:r>
        <w:rPr>
          <w:rFonts w:ascii="仿宋_GB2312" w:hAnsi="Times New Roman" w:eastAsia="仿宋_GB2312" w:cs="仿宋_GB2312"/>
          <w:color w:val="353535"/>
          <w:sz w:val="32"/>
          <w:szCs w:val="32"/>
        </w:rPr>
        <w:t>指省本级财政当年拨付的资金。</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二、其他收入</w:t>
      </w:r>
      <w:r>
        <w:rPr>
          <w:rStyle w:val="11"/>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三、上年结转和结余</w:t>
      </w:r>
      <w:r>
        <w:rPr>
          <w:rStyle w:val="11"/>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四、年末结转和结余</w:t>
      </w:r>
      <w:r>
        <w:rPr>
          <w:rStyle w:val="11"/>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五、公共安全支出（类）检察（款）</w:t>
      </w:r>
      <w:r>
        <w:rPr>
          <w:rStyle w:val="11"/>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指检察机关用于保障机构正常运行、开展检察业务工作的支出。</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六、教育支出（类）进修及培训（款）培训支出（项）：</w:t>
      </w:r>
      <w:r>
        <w:rPr>
          <w:rFonts w:ascii="仿宋_GB2312" w:hAnsi="Times New Roman" w:eastAsia="仿宋_GB2312" w:cs="仿宋_GB2312"/>
          <w:color w:val="353535"/>
          <w:sz w:val="32"/>
          <w:szCs w:val="32"/>
        </w:rPr>
        <w:t>指单位用于干警教育培训的支出。</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七、社会保障和就业支出（类）行政事业单位离退休（款）未归口管理的行政单位离退休（项）：</w:t>
      </w:r>
      <w:r>
        <w:rPr>
          <w:rFonts w:ascii="仿宋_GB2312" w:hAnsi="Times New Roman" w:eastAsia="仿宋_GB2312" w:cs="仿宋_GB2312"/>
          <w:color w:val="353535"/>
          <w:sz w:val="32"/>
          <w:szCs w:val="32"/>
        </w:rPr>
        <w:t>指单位用于未归口社保的离退休人员的工资性支出。</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八、住房保障支出（类）住房改革支出（款）：</w:t>
      </w:r>
      <w:r>
        <w:rPr>
          <w:rFonts w:ascii="仿宋_GB2312" w:hAnsi="Times New Roman" w:eastAsia="仿宋_GB2312" w:cs="仿宋_GB2312"/>
          <w:color w:val="353535"/>
          <w:sz w:val="32"/>
          <w:szCs w:val="32"/>
        </w:rPr>
        <w:t>指单位按照国家政策规定用于住房改革方面的支出。</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（一）住房公积金（项）</w:t>
      </w:r>
      <w:r>
        <w:rPr>
          <w:rStyle w:val="11"/>
          <w:rFonts w:ascii="楷体_GB2312" w:hAnsi="楷体" w:eastAsia="楷体_GB2312" w:cs="楷体"/>
          <w:b w:val="0"/>
          <w:sz w:val="32"/>
          <w:szCs w:val="32"/>
          <w:shd w:val="clear" w:color="auto" w:fill="FFFFFF"/>
        </w:rPr>
        <w:t>：</w:t>
      </w:r>
      <w:r>
        <w:rPr>
          <w:rFonts w:ascii="仿宋_GB2312" w:hAnsi="Times New Roman" w:eastAsia="仿宋_GB2312" w:cs="仿宋_GB2312"/>
          <w:color w:val="353535"/>
          <w:sz w:val="32"/>
          <w:szCs w:val="32"/>
        </w:rPr>
        <w:t>指按照国家统一规定，按规定比例为职工缴纳的住房公积金。</w:t>
      </w:r>
    </w:p>
    <w:p>
      <w:pPr>
        <w:adjustRightInd w:val="0"/>
        <w:snapToGrid w:val="0"/>
        <w:spacing w:line="560" w:lineRule="exact"/>
        <w:ind w:firstLine="640" w:firstLineChars="200"/>
      </w:pPr>
      <w:r>
        <w:rPr>
          <w:rStyle w:val="11"/>
          <w:rFonts w:ascii="楷体_GB2312" w:hAnsi="楷体" w:eastAsia="楷体_GB2312" w:cs="楷体"/>
          <w:b w:val="0"/>
          <w:sz w:val="32"/>
          <w:szCs w:val="32"/>
          <w:shd w:val="clear" w:color="auto" w:fill="FFFFFF"/>
        </w:rPr>
        <w:t>（二）</w:t>
      </w:r>
      <w:r>
        <w:rPr>
          <w:rStyle w:val="11"/>
          <w:rFonts w:hint="eastAsia" w:ascii="楷体_GB2312" w:hAnsi="楷体" w:eastAsia="楷体_GB2312" w:cs="楷体"/>
          <w:b w:val="0"/>
          <w:sz w:val="32"/>
          <w:szCs w:val="32"/>
          <w:shd w:val="clear" w:color="auto" w:fill="FFFFFF"/>
        </w:rPr>
        <w:t>购房补贴（项）：</w:t>
      </w:r>
      <w:r>
        <w:rPr>
          <w:rFonts w:ascii="仿宋_GB2312" w:hAnsi="Times New Roman" w:eastAsia="仿宋_GB2312" w:cs="仿宋_GB2312"/>
          <w:color w:val="353535"/>
          <w:sz w:val="32"/>
          <w:szCs w:val="32"/>
        </w:rPr>
        <w:t>指</w:t>
      </w:r>
      <w:r>
        <w:rPr>
          <w:rFonts w:ascii="Times New Roman" w:hAnsi="Times New Roman"/>
          <w:color w:val="353535"/>
          <w:sz w:val="32"/>
          <w:szCs w:val="32"/>
        </w:rPr>
        <w:t>1998</w:t>
      </w:r>
      <w:r>
        <w:rPr>
          <w:rFonts w:ascii="仿宋_GB2312" w:hAnsi="Times New Roman" w:eastAsia="仿宋_GB2312" w:cs="仿宋_GB2312"/>
          <w:color w:val="353535"/>
          <w:sz w:val="32"/>
          <w:szCs w:val="32"/>
        </w:rPr>
        <w:t>年住房分配货币化改革以后，按照国家房改政策规定，向无房职工、住房面积未达到规定标准的职工发放的住房补贴。</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九、基本支出</w:t>
      </w:r>
      <w:r>
        <w:rPr>
          <w:rStyle w:val="11"/>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指为保障机构正常运转、完成日常工作任务而发生的人员支出和公用支出。</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十、项目支出：</w:t>
      </w:r>
      <w:r>
        <w:rPr>
          <w:rFonts w:ascii="仿宋_GB2312" w:hAnsi="Times New Roman" w:eastAsia="仿宋_GB2312" w:cs="仿宋_GB2312"/>
          <w:color w:val="353535"/>
          <w:sz w:val="32"/>
          <w:szCs w:val="32"/>
        </w:rPr>
        <w:t>指在基本支出以外为完成特定任务和事业发展目标所发生的支出。</w:t>
      </w:r>
    </w:p>
    <w:p>
      <w:pPr>
        <w:adjustRightInd w:val="0"/>
        <w:snapToGrid w:val="0"/>
        <w:spacing w:line="560" w:lineRule="exact"/>
        <w:ind w:firstLine="640" w:firstLineChars="200"/>
      </w:pPr>
      <w:r>
        <w:rPr>
          <w:rStyle w:val="11"/>
          <w:rFonts w:hint="eastAsia" w:ascii="楷体_GB2312" w:hAnsi="楷体" w:eastAsia="楷体_GB2312" w:cs="楷体"/>
          <w:b w:val="0"/>
          <w:sz w:val="32"/>
          <w:szCs w:val="32"/>
          <w:shd w:val="clear" w:color="auto" w:fill="FFFFFF"/>
        </w:rPr>
        <w:t>十一、“ 三公” 经费财政拨款支出：</w:t>
      </w:r>
      <w:r>
        <w:rPr>
          <w:rFonts w:ascii="仿宋_GB2312" w:hAnsi="Times New Roman" w:eastAsia="仿宋_GB2312"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ascii="仿宋_GB2312" w:hAnsi="Times New Roman" w:eastAsia="仿宋_GB2312" w:cs="仿宋_GB2312"/>
          <w:color w:val="353535"/>
          <w:sz w:val="32"/>
          <w:szCs w:val="32"/>
        </w:rPr>
      </w:pPr>
      <w:r>
        <w:rPr>
          <w:rStyle w:val="11"/>
          <w:rFonts w:hint="eastAsia" w:ascii="楷体_GB2312" w:hAnsi="楷体" w:eastAsia="楷体_GB2312" w:cs="楷体"/>
          <w:b w:val="0"/>
          <w:sz w:val="32"/>
          <w:szCs w:val="32"/>
          <w:shd w:val="clear" w:color="auto" w:fill="FFFFFF"/>
        </w:rPr>
        <w:t>十二、机关运行经费</w:t>
      </w:r>
      <w:r>
        <w:rPr>
          <w:rFonts w:hint="eastAsia" w:ascii="楷体_GB2312" w:eastAsia="楷体_GB2312" w:cs="黑体"/>
          <w:b/>
          <w:color w:val="353535"/>
          <w:sz w:val="32"/>
          <w:szCs w:val="32"/>
        </w:rPr>
        <w:t>：</w:t>
      </w:r>
      <w:r>
        <w:rPr>
          <w:rFonts w:ascii="仿宋_GB2312" w:hAnsi="Times New Roman" w:eastAsia="仿宋_GB2312"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pStyle w:val="14"/>
        <w:jc w:val="both"/>
        <w:rPr>
          <w:sz w:val="72"/>
          <w:szCs w:val="72"/>
        </w:rPr>
      </w:pPr>
    </w:p>
    <w:p>
      <w:pPr>
        <w:pStyle w:val="14"/>
        <w:jc w:val="both"/>
        <w:rPr>
          <w:sz w:val="28"/>
          <w:szCs w:val="28"/>
        </w:rPr>
      </w:pPr>
    </w:p>
    <w:p>
      <w:pPr>
        <w:pStyle w:val="14"/>
        <w:ind w:firstLine="2640" w:firstLineChars="600"/>
        <w:jc w:val="both"/>
        <w:rPr>
          <w:sz w:val="44"/>
          <w:szCs w:val="44"/>
        </w:rPr>
      </w:pPr>
      <w:r>
        <w:rPr>
          <w:rFonts w:hint="eastAsia"/>
          <w:sz w:val="44"/>
          <w:szCs w:val="44"/>
        </w:rPr>
        <w:t>第五部分附件</w:t>
      </w:r>
    </w:p>
    <w:p>
      <w:pPr>
        <w:widowControl/>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2021年度部门整体支出绩效评价报告</w:t>
      </w:r>
    </w:p>
    <w:p>
      <w:pPr>
        <w:jc w:val="left"/>
        <w:rPr>
          <w:rFonts w:cs="黑体" w:asciiTheme="minorEastAsia" w:hAnsiTheme="minorEastAsia"/>
          <w:color w:val="000000"/>
          <w:kern w:val="0"/>
          <w:sz w:val="32"/>
          <w:szCs w:val="32"/>
        </w:rPr>
      </w:pPr>
      <w:r>
        <w:rPr>
          <w:rFonts w:hint="eastAsia" w:ascii="仿宋_GB2312" w:hAnsi="仿宋_GB2312" w:eastAsia="仿宋_GB2312" w:cs="仿宋_GB2312"/>
          <w:b/>
          <w:color w:val="000000"/>
          <w:kern w:val="0"/>
          <w:sz w:val="32"/>
          <w:szCs w:val="32"/>
        </w:rPr>
        <w:t>https://www.hn.jcy.gov.cn/xwfb/czxx/qtczxxgk/202206/1537346769879302144.html</w:t>
      </w:r>
    </w:p>
    <w:sectPr>
      <w:pgSz w:w="11906" w:h="16838"/>
      <w:pgMar w:top="2041" w:right="1531" w:bottom="2041" w:left="153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ZiOWI4ZjJmODQ4NDRiMGIzMzgyNGRiOGY1M2VmYTg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0C76"/>
    <w:rsid w:val="00152C6D"/>
    <w:rsid w:val="00162D39"/>
    <w:rsid w:val="001678BD"/>
    <w:rsid w:val="00182373"/>
    <w:rsid w:val="001A0C5A"/>
    <w:rsid w:val="001A67DB"/>
    <w:rsid w:val="001C3C29"/>
    <w:rsid w:val="001D3ECD"/>
    <w:rsid w:val="001D51E5"/>
    <w:rsid w:val="001E080D"/>
    <w:rsid w:val="001E53D0"/>
    <w:rsid w:val="001F0C3B"/>
    <w:rsid w:val="00202C14"/>
    <w:rsid w:val="00202C82"/>
    <w:rsid w:val="00214427"/>
    <w:rsid w:val="00226CB7"/>
    <w:rsid w:val="00264552"/>
    <w:rsid w:val="00264EF9"/>
    <w:rsid w:val="00265724"/>
    <w:rsid w:val="0027426B"/>
    <w:rsid w:val="002E0A30"/>
    <w:rsid w:val="002F70F0"/>
    <w:rsid w:val="003130C4"/>
    <w:rsid w:val="00316C4B"/>
    <w:rsid w:val="0032192B"/>
    <w:rsid w:val="003479BD"/>
    <w:rsid w:val="0037197D"/>
    <w:rsid w:val="003768D5"/>
    <w:rsid w:val="003C4197"/>
    <w:rsid w:val="003C47E6"/>
    <w:rsid w:val="003C4FC2"/>
    <w:rsid w:val="003E2331"/>
    <w:rsid w:val="003E305B"/>
    <w:rsid w:val="00416E61"/>
    <w:rsid w:val="0042790C"/>
    <w:rsid w:val="0044773D"/>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52406"/>
    <w:rsid w:val="005767CC"/>
    <w:rsid w:val="00590D9F"/>
    <w:rsid w:val="00595D26"/>
    <w:rsid w:val="005A74E6"/>
    <w:rsid w:val="005B404E"/>
    <w:rsid w:val="005D4D55"/>
    <w:rsid w:val="005E2CFB"/>
    <w:rsid w:val="005F2103"/>
    <w:rsid w:val="005F3D1C"/>
    <w:rsid w:val="00611156"/>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13BB"/>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40F9C"/>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6897"/>
    <w:rsid w:val="00E67BE6"/>
    <w:rsid w:val="00E8683C"/>
    <w:rsid w:val="00EA2B72"/>
    <w:rsid w:val="00F74360"/>
    <w:rsid w:val="00F868D9"/>
    <w:rsid w:val="00FB462F"/>
    <w:rsid w:val="00FD2464"/>
    <w:rsid w:val="00FE16FA"/>
    <w:rsid w:val="00FE328A"/>
    <w:rsid w:val="00FE6269"/>
    <w:rsid w:val="00FF5CD6"/>
    <w:rsid w:val="1D77036F"/>
    <w:rsid w:val="1D8361E3"/>
    <w:rsid w:val="1FFDDEA9"/>
    <w:rsid w:val="339E4A3B"/>
    <w:rsid w:val="375B3455"/>
    <w:rsid w:val="37EDE111"/>
    <w:rsid w:val="39CBFF16"/>
    <w:rsid w:val="5EFD7F09"/>
    <w:rsid w:val="5FFF011E"/>
    <w:rsid w:val="6B4B55A9"/>
    <w:rsid w:val="6F6F9979"/>
    <w:rsid w:val="73FF13A3"/>
    <w:rsid w:val="7BC7E3CE"/>
    <w:rsid w:val="7BEEDDE9"/>
    <w:rsid w:val="7D9D0224"/>
    <w:rsid w:val="7E7B36FA"/>
    <w:rsid w:val="7E9D75E3"/>
    <w:rsid w:val="7FC645DF"/>
    <w:rsid w:val="7FF76E38"/>
    <w:rsid w:val="ACAFCF66"/>
    <w:rsid w:val="AEFBFD79"/>
    <w:rsid w:val="BFB3F09D"/>
    <w:rsid w:val="BFF378DA"/>
    <w:rsid w:val="DFBD2E38"/>
    <w:rsid w:val="EFBFBF30"/>
    <w:rsid w:val="EFFFE75E"/>
    <w:rsid w:val="F37A0D76"/>
    <w:rsid w:val="F3FF1091"/>
    <w:rsid w:val="F6FE9D36"/>
    <w:rsid w:val="FABE64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style>
  <w:style w:type="paragraph" w:styleId="7">
    <w:name w:val="Body Text First Indent 2"/>
    <w:basedOn w:val="2"/>
    <w:next w:val="1"/>
    <w:qFormat/>
    <w:uiPriority w:val="0"/>
    <w:pPr>
      <w:spacing w:before="100" w:beforeAutospacing="1" w:after="0"/>
      <w:ind w:left="0" w:firstLine="420" w:firstLineChars="200"/>
    </w:pPr>
    <w:rPr>
      <w:sz w:val="32"/>
      <w:szCs w:val="3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79F846-C9ED-4301-A8D4-AE9AA20E914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2232</Words>
  <Characters>12729</Characters>
  <Lines>106</Lines>
  <Paragraphs>29</Paragraphs>
  <TotalTime>31</TotalTime>
  <ScaleCrop>false</ScaleCrop>
  <LinksUpToDate>false</LinksUpToDate>
  <CharactersWithSpaces>14932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2020-07-05T18:32:00Z</dcterms:created>
  <dc:creator>李航 null</dc:creator>
  <cp:lastModifiedBy>刘慧琳</cp:lastModifiedBy>
  <cp:lastPrinted>2022-07-31T04:55:00Z</cp:lastPrinted>
  <dcterms:modified xsi:type="dcterms:W3CDTF">2023-11-20T01:47:35Z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8724550FC4E349389BB7A46A5BCEF1FE</vt:lpwstr>
  </property>
</Properties>
</file>